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8" w:rsidRDefault="00470008" w:rsidP="00470008">
      <w:pPr>
        <w:jc w:val="center"/>
        <w:rPr>
          <w:rFonts w:ascii="Calibri Light" w:eastAsia="Times New Roman" w:hAnsi="Calibri Light" w:cs="Calibri Light"/>
          <w:b/>
          <w:bCs/>
          <w:color w:val="212121"/>
          <w:sz w:val="22"/>
          <w:szCs w:val="22"/>
        </w:rPr>
      </w:pPr>
      <w:r>
        <w:rPr>
          <w:rFonts w:ascii="Calibri Light" w:eastAsia="Times New Roman" w:hAnsi="Calibri Light" w:cs="Calibri Light"/>
          <w:b/>
          <w:bCs/>
          <w:noProof/>
          <w:color w:val="212121"/>
          <w:sz w:val="22"/>
          <w:szCs w:val="22"/>
        </w:rPr>
        <w:drawing>
          <wp:anchor distT="0" distB="0" distL="114300" distR="114300" simplePos="0" relativeHeight="251660288" behindDoc="0" locked="0" layoutInCell="1" allowOverlap="1" wp14:anchorId="74B7525E" wp14:editId="37DFE645">
            <wp:simplePos x="0" y="0"/>
            <wp:positionH relativeFrom="column">
              <wp:posOffset>3857625</wp:posOffset>
            </wp:positionH>
            <wp:positionV relativeFrom="paragraph">
              <wp:posOffset>46355</wp:posOffset>
            </wp:positionV>
            <wp:extent cx="2105025" cy="1000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90420_19382.gif"/>
                    <pic:cNvPicPr/>
                  </pic:nvPicPr>
                  <pic:blipFill>
                    <a:blip r:embed="rId4">
                      <a:extLst>
                        <a:ext uri="{28A0092B-C50C-407E-A947-70E740481C1C}">
                          <a14:useLocalDpi xmlns:a14="http://schemas.microsoft.com/office/drawing/2010/main" val="0"/>
                        </a:ext>
                      </a:extLst>
                    </a:blip>
                    <a:stretch>
                      <a:fillRect/>
                    </a:stretch>
                  </pic:blipFill>
                  <pic:spPr>
                    <a:xfrm>
                      <a:off x="0" y="0"/>
                      <a:ext cx="2105025" cy="1000125"/>
                    </a:xfrm>
                    <a:prstGeom prst="rect">
                      <a:avLst/>
                    </a:prstGeom>
                  </pic:spPr>
                </pic:pic>
              </a:graphicData>
            </a:graphic>
            <wp14:sizeRelH relativeFrom="page">
              <wp14:pctWidth>0</wp14:pctWidth>
            </wp14:sizeRelH>
            <wp14:sizeRelV relativeFrom="page">
              <wp14:pctHeight>0</wp14:pctHeight>
            </wp14:sizeRelV>
          </wp:anchor>
        </w:drawing>
      </w:r>
      <w:r>
        <w:rPr>
          <w:rFonts w:ascii="Calibri Light" w:eastAsia="Times New Roman" w:hAnsi="Calibri Light" w:cs="Calibri Light"/>
          <w:b/>
          <w:bCs/>
          <w:noProof/>
          <w:color w:val="212121"/>
          <w:sz w:val="22"/>
          <w:szCs w:val="22"/>
        </w:rPr>
        <w:drawing>
          <wp:anchor distT="0" distB="0" distL="114300" distR="114300" simplePos="0" relativeHeight="251658240" behindDoc="0" locked="0" layoutInCell="1" allowOverlap="1" wp14:anchorId="46F37F01" wp14:editId="065C2022">
            <wp:simplePos x="0" y="0"/>
            <wp:positionH relativeFrom="margin">
              <wp:posOffset>1609725</wp:posOffset>
            </wp:positionH>
            <wp:positionV relativeFrom="paragraph">
              <wp:posOffset>38100</wp:posOffset>
            </wp:positionV>
            <wp:extent cx="1924050" cy="1034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050" cy="10344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74978DE" wp14:editId="78AE9F2E">
            <wp:simplePos x="0" y="0"/>
            <wp:positionH relativeFrom="margin">
              <wp:posOffset>114300</wp:posOffset>
            </wp:positionH>
            <wp:positionV relativeFrom="paragraph">
              <wp:posOffset>0</wp:posOffset>
            </wp:positionV>
            <wp:extent cx="1143000" cy="1143000"/>
            <wp:effectExtent l="0" t="0" r="0" b="0"/>
            <wp:wrapSquare wrapText="bothSides"/>
            <wp:docPr id="4" name="Picture 4" descr="https://pbs.twimg.com/profile_images/786143980937445376/IdGQf580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786143980937445376/IdGQf580_400x4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New Roman" w:hAnsi="Calibri Light" w:cs="Calibri Light"/>
          <w:b/>
          <w:bCs/>
          <w:noProof/>
          <w:color w:val="212121"/>
          <w:sz w:val="22"/>
          <w:szCs w:val="22"/>
        </w:rPr>
        <w:drawing>
          <wp:anchor distT="0" distB="0" distL="114300" distR="114300" simplePos="0" relativeHeight="251659264" behindDoc="0" locked="0" layoutInCell="1" allowOverlap="1" wp14:anchorId="5E1DB34D" wp14:editId="34747A19">
            <wp:simplePos x="0" y="0"/>
            <wp:positionH relativeFrom="margin">
              <wp:posOffset>3124200</wp:posOffset>
            </wp:positionH>
            <wp:positionV relativeFrom="paragraph">
              <wp:posOffset>1175385</wp:posOffset>
            </wp:positionV>
            <wp:extent cx="2847975" cy="105219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807471_1288975311192205_77899417887146944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7975" cy="1052195"/>
                    </a:xfrm>
                    <a:prstGeom prst="rect">
                      <a:avLst/>
                    </a:prstGeom>
                  </pic:spPr>
                </pic:pic>
              </a:graphicData>
            </a:graphic>
            <wp14:sizeRelH relativeFrom="page">
              <wp14:pctWidth>0</wp14:pctWidth>
            </wp14:sizeRelH>
            <wp14:sizeRelV relativeFrom="page">
              <wp14:pctHeight>0</wp14:pctHeight>
            </wp14:sizeRelV>
          </wp:anchor>
        </w:drawing>
      </w:r>
    </w:p>
    <w:p w:rsidR="00470008" w:rsidRDefault="00470008" w:rsidP="00470008">
      <w:pPr>
        <w:jc w:val="center"/>
        <w:rPr>
          <w:rFonts w:ascii="Calibri Light" w:eastAsia="Times New Roman" w:hAnsi="Calibri Light" w:cs="Calibri Light"/>
          <w:b/>
          <w:bCs/>
          <w:color w:val="212121"/>
          <w:sz w:val="22"/>
          <w:szCs w:val="22"/>
        </w:rPr>
      </w:pPr>
    </w:p>
    <w:p w:rsidR="001642FA" w:rsidRDefault="001642FA" w:rsidP="001642FA">
      <w:pPr>
        <w:pStyle w:val="NormalWeb"/>
        <w:jc w:val="center"/>
        <w:rPr>
          <w:rFonts w:ascii="Calibri Light" w:hAnsi="Calibri Light" w:cs="Calibri Light"/>
          <w:b/>
          <w:bCs/>
          <w:color w:val="212121"/>
          <w:sz w:val="22"/>
          <w:szCs w:val="22"/>
        </w:rPr>
      </w:pPr>
    </w:p>
    <w:p w:rsidR="00425020" w:rsidRDefault="00425020" w:rsidP="00425020">
      <w:pPr>
        <w:pStyle w:val="NormalWeb"/>
        <w:jc w:val="center"/>
        <w:rPr>
          <w:rFonts w:ascii="Segoe UI" w:hAnsi="Segoe UI" w:cs="Segoe UI"/>
          <w:color w:val="212121"/>
          <w:sz w:val="23"/>
          <w:szCs w:val="23"/>
        </w:rPr>
      </w:pPr>
      <w:r>
        <w:rPr>
          <w:rFonts w:ascii="Calibri Light" w:hAnsi="Calibri Light" w:cs="Calibri Light"/>
          <w:b/>
          <w:bCs/>
          <w:color w:val="212121"/>
          <w:sz w:val="22"/>
          <w:szCs w:val="22"/>
        </w:rPr>
        <w:t>CALL FOR JUDGES: </w:t>
      </w:r>
    </w:p>
    <w:p w:rsidR="00425020" w:rsidRDefault="00425020" w:rsidP="00425020">
      <w:pPr>
        <w:pStyle w:val="NormalWeb"/>
        <w:jc w:val="center"/>
        <w:rPr>
          <w:rFonts w:ascii="Segoe UI" w:hAnsi="Segoe UI" w:cs="Segoe UI"/>
          <w:color w:val="212121"/>
          <w:sz w:val="23"/>
          <w:szCs w:val="23"/>
        </w:rPr>
      </w:pPr>
      <w:r>
        <w:rPr>
          <w:rFonts w:ascii="Calibri Light" w:hAnsi="Calibri Light" w:cs="Calibri Light"/>
          <w:b/>
          <w:bCs/>
          <w:color w:val="212121"/>
          <w:sz w:val="22"/>
          <w:szCs w:val="22"/>
        </w:rPr>
        <w:t>BLACKSTONE HUMAN RIGHTS MOOT COURT COMPETITION 2019 </w:t>
      </w:r>
    </w:p>
    <w:p w:rsidR="00425020" w:rsidRDefault="00425020" w:rsidP="00425020">
      <w:pPr>
        <w:pStyle w:val="NormalWeb"/>
        <w:jc w:val="center"/>
        <w:rPr>
          <w:rFonts w:ascii="Segoe UI" w:hAnsi="Segoe UI" w:cs="Segoe UI"/>
          <w:color w:val="212121"/>
          <w:sz w:val="23"/>
          <w:szCs w:val="23"/>
        </w:rPr>
      </w:pPr>
      <w:r>
        <w:rPr>
          <w:rFonts w:ascii="Calibri Light" w:hAnsi="Calibri Light" w:cs="Calibri Light"/>
          <w:color w:val="212121"/>
          <w:sz w:val="22"/>
          <w:szCs w:val="22"/>
        </w:rPr>
        <w:t> </w:t>
      </w:r>
    </w:p>
    <w:p w:rsidR="00425020" w:rsidRPr="003D71DF" w:rsidRDefault="00425020" w:rsidP="00425020">
      <w:pPr>
        <w:pStyle w:val="NormalWeb"/>
        <w:rPr>
          <w:rFonts w:asciiTheme="minorHAnsi" w:hAnsiTheme="minorHAnsi" w:cstheme="minorHAnsi"/>
          <w:color w:val="000000"/>
        </w:rPr>
      </w:pPr>
      <w:r w:rsidRPr="003D71DF">
        <w:rPr>
          <w:rStyle w:val="contextualextensionhighlight"/>
          <w:rFonts w:asciiTheme="minorHAnsi" w:hAnsiTheme="minorHAnsi" w:cstheme="minorHAnsi"/>
          <w:color w:val="212121"/>
          <w:sz w:val="22"/>
          <w:szCs w:val="22"/>
        </w:rPr>
        <w:t>The 2nd edition of </w:t>
      </w:r>
      <w:r w:rsidRPr="003D71DF">
        <w:rPr>
          <w:rStyle w:val="contextualextensionhighlight"/>
          <w:rFonts w:asciiTheme="minorHAnsi" w:hAnsiTheme="minorHAnsi" w:cstheme="minorHAnsi"/>
        </w:rPr>
        <w:t>the </w:t>
      </w:r>
      <w:r w:rsidRPr="003D71DF">
        <w:rPr>
          <w:rStyle w:val="contextualextensionhighlight"/>
          <w:rFonts w:asciiTheme="minorHAnsi" w:hAnsiTheme="minorHAnsi" w:cstheme="minorHAnsi"/>
          <w:b/>
          <w:bCs/>
        </w:rPr>
        <w:t>Blackstone</w:t>
      </w:r>
      <w:r w:rsidRPr="003D71DF">
        <w:rPr>
          <w:rStyle w:val="contextualextensionhighlight"/>
          <w:rFonts w:asciiTheme="minorHAnsi" w:hAnsiTheme="minorHAnsi" w:cstheme="minorHAnsi"/>
          <w:b/>
          <w:bCs/>
          <w:color w:val="212121"/>
          <w:sz w:val="22"/>
          <w:szCs w:val="22"/>
        </w:rPr>
        <w:br/>
      </w:r>
      <w:bookmarkStart w:id="0" w:name="_GoBack"/>
      <w:r w:rsidRPr="003D71DF">
        <w:rPr>
          <w:rStyle w:val="contextualextensionhighlight"/>
          <w:rFonts w:asciiTheme="minorHAnsi" w:hAnsiTheme="minorHAnsi" w:cstheme="minorHAnsi"/>
          <w:b/>
          <w:bCs/>
          <w:color w:val="212121"/>
          <w:sz w:val="22"/>
          <w:szCs w:val="22"/>
        </w:rPr>
        <w:t>Human Rights Moot Court Competition 2019</w:t>
      </w:r>
      <w:r w:rsidRPr="003D71DF">
        <w:rPr>
          <w:rStyle w:val="xapple-converted-space"/>
          <w:rFonts w:asciiTheme="minorHAnsi" w:hAnsiTheme="minorHAnsi" w:cstheme="minorHAnsi"/>
          <w:b/>
          <w:bCs/>
        </w:rPr>
        <w:t> </w:t>
      </w:r>
      <w:r w:rsidRPr="003D71DF">
        <w:rPr>
          <w:rStyle w:val="contextualextensionhighlight"/>
          <w:rFonts w:asciiTheme="minorHAnsi" w:hAnsiTheme="minorHAnsi" w:cstheme="minorHAnsi"/>
          <w:color w:val="212121"/>
          <w:sz w:val="22"/>
          <w:szCs w:val="22"/>
        </w:rPr>
        <w:t>is</w:t>
      </w:r>
      <w:r w:rsidRPr="003D71DF">
        <w:rPr>
          <w:rStyle w:val="contextualextensionhighlight"/>
          <w:rFonts w:asciiTheme="minorHAnsi" w:hAnsiTheme="minorHAnsi" w:cstheme="minorHAnsi"/>
          <w:color w:val="212121"/>
          <w:sz w:val="22"/>
          <w:szCs w:val="22"/>
        </w:rPr>
        <w:br/>
      </w:r>
      <w:bookmarkEnd w:id="0"/>
      <w:r w:rsidRPr="003D71DF">
        <w:rPr>
          <w:rStyle w:val="contextualextensionhighlight"/>
          <w:rFonts w:asciiTheme="minorHAnsi" w:hAnsiTheme="minorHAnsi" w:cstheme="minorHAnsi"/>
          <w:color w:val="212121"/>
          <w:sz w:val="22"/>
          <w:szCs w:val="22"/>
        </w:rPr>
        <w:t>scheduled to take place on</w:t>
      </w:r>
      <w:r w:rsidRPr="003D71DF">
        <w:rPr>
          <w:rStyle w:val="xapple-converted-space"/>
          <w:rFonts w:asciiTheme="minorHAnsi" w:hAnsiTheme="minorHAnsi" w:cstheme="minorHAnsi"/>
        </w:rPr>
        <w:t> </w:t>
      </w:r>
      <w:r w:rsidRPr="003D71DF">
        <w:rPr>
          <w:rStyle w:val="contextualextensionhighlight"/>
          <w:rFonts w:asciiTheme="minorHAnsi" w:hAnsiTheme="minorHAnsi" w:cstheme="minorHAnsi"/>
          <w:b/>
          <w:bCs/>
        </w:rPr>
        <w:t>16th and</w:t>
      </w:r>
      <w:r w:rsidRPr="003D71DF">
        <w:rPr>
          <w:rStyle w:val="contextualextensionhighlight"/>
          <w:rFonts w:asciiTheme="minorHAnsi" w:hAnsiTheme="minorHAnsi" w:cstheme="minorHAnsi"/>
          <w:b/>
          <w:bCs/>
        </w:rPr>
        <w:br/>
        <w:t>17th February</w:t>
      </w:r>
      <w:r w:rsidRPr="003D71DF">
        <w:rPr>
          <w:rStyle w:val="xapple-converted-space"/>
          <w:rFonts w:asciiTheme="minorHAnsi" w:hAnsiTheme="minorHAnsi" w:cstheme="minorHAnsi"/>
        </w:rPr>
        <w:t> </w:t>
      </w:r>
      <w:r w:rsidRPr="003D71DF">
        <w:rPr>
          <w:rStyle w:val="contextualextensionhighlight"/>
          <w:rFonts w:asciiTheme="minorHAnsi" w:hAnsiTheme="minorHAnsi" w:cstheme="minorHAnsi"/>
        </w:rPr>
        <w:t>at the Bonavero Institute</w:t>
      </w:r>
      <w:r w:rsidRPr="003D71DF">
        <w:rPr>
          <w:rStyle w:val="contextualextensionhighlight"/>
          <w:rFonts w:asciiTheme="minorHAnsi" w:hAnsiTheme="minorHAnsi" w:cstheme="minorHAnsi"/>
        </w:rPr>
        <w:br/>
        <w:t>of Human Rights. This moot is organised in collaboration with the Institute, Oxford Lawyers Without Borders, and Mooting at Law. </w:t>
      </w:r>
    </w:p>
    <w:p w:rsidR="00425020" w:rsidRPr="003D71DF" w:rsidRDefault="00425020" w:rsidP="00425020">
      <w:pPr>
        <w:pStyle w:val="NormalWeb"/>
        <w:rPr>
          <w:rFonts w:asciiTheme="minorHAnsi" w:hAnsiTheme="minorHAnsi" w:cstheme="minorHAnsi"/>
          <w:color w:val="212121"/>
          <w:sz w:val="23"/>
          <w:szCs w:val="23"/>
        </w:rPr>
      </w:pPr>
    </w:p>
    <w:p w:rsidR="00425020" w:rsidRPr="003D71DF" w:rsidRDefault="00425020" w:rsidP="00425020">
      <w:pPr>
        <w:pStyle w:val="NormalWeb"/>
        <w:rPr>
          <w:rFonts w:asciiTheme="minorHAnsi" w:hAnsiTheme="minorHAnsi" w:cstheme="minorHAnsi"/>
          <w:color w:val="212121"/>
          <w:sz w:val="23"/>
          <w:szCs w:val="23"/>
        </w:rPr>
      </w:pPr>
      <w:r w:rsidRPr="003D71DF">
        <w:rPr>
          <w:rFonts w:asciiTheme="minorHAnsi" w:hAnsiTheme="minorHAnsi" w:cstheme="minorHAnsi"/>
          <w:color w:val="212121"/>
          <w:sz w:val="22"/>
          <w:szCs w:val="22"/>
        </w:rPr>
        <w:t>The competition will act as a selection process to determine the team that will represent Oxford at the </w:t>
      </w:r>
      <w:hyperlink r:id="rId8" w:tgtFrame="_blank" w:history="1">
        <w:r w:rsidRPr="003D71DF">
          <w:rPr>
            <w:rStyle w:val="Hyperlink"/>
            <w:rFonts w:asciiTheme="minorHAnsi" w:hAnsiTheme="minorHAnsi" w:cstheme="minorHAnsi"/>
            <w:b/>
            <w:bCs/>
            <w:color w:val="000000"/>
            <w:sz w:val="22"/>
            <w:szCs w:val="22"/>
          </w:rPr>
          <w:t>11</w:t>
        </w:r>
        <w:r w:rsidRPr="003D71DF">
          <w:rPr>
            <w:rStyle w:val="Hyperlink"/>
            <w:rFonts w:asciiTheme="minorHAnsi" w:hAnsiTheme="minorHAnsi" w:cstheme="minorHAnsi"/>
            <w:b/>
            <w:bCs/>
            <w:color w:val="000000"/>
            <w:sz w:val="22"/>
            <w:szCs w:val="22"/>
            <w:vertAlign w:val="superscript"/>
          </w:rPr>
          <w:t>th</w:t>
        </w:r>
        <w:r w:rsidRPr="003D71DF">
          <w:rPr>
            <w:rStyle w:val="Hyperlink"/>
            <w:rFonts w:asciiTheme="minorHAnsi" w:hAnsiTheme="minorHAnsi" w:cstheme="minorHAnsi"/>
            <w:b/>
            <w:bCs/>
            <w:color w:val="000000"/>
            <w:sz w:val="22"/>
            <w:szCs w:val="22"/>
          </w:rPr>
          <w:t> Nelson Mandela World Human Rights Moot</w:t>
        </w:r>
      </w:hyperlink>
      <w:r w:rsidRPr="003D71DF">
        <w:rPr>
          <w:rFonts w:asciiTheme="minorHAnsi" w:hAnsiTheme="minorHAnsi" w:cstheme="minorHAnsi"/>
          <w:color w:val="212121"/>
          <w:sz w:val="22"/>
          <w:szCs w:val="22"/>
        </w:rPr>
        <w:t> in Geneva. This competition is open to all undergraduate students in Law, as well as graduate students on the BCL and MLF. As one of the few moot court competitions that engages with international human rights law at Oxford, this is an excellent opportunity for students interested in this area to improve and showcase their advocacy skills, and engage in research in international and comparative human rights law. In addition to this, the Nelson Mandela World Human Rights Moot is one of the most prestigious mooting competitions in the world. </w:t>
      </w:r>
    </w:p>
    <w:p w:rsidR="00425020" w:rsidRPr="003D71DF" w:rsidRDefault="00425020" w:rsidP="00425020">
      <w:pPr>
        <w:pStyle w:val="NormalWeb"/>
        <w:rPr>
          <w:rFonts w:asciiTheme="minorHAnsi" w:hAnsiTheme="minorHAnsi" w:cstheme="minorHAnsi"/>
          <w:color w:val="212121"/>
          <w:sz w:val="23"/>
          <w:szCs w:val="23"/>
        </w:rPr>
      </w:pPr>
    </w:p>
    <w:p w:rsidR="00425020" w:rsidRPr="003D71DF" w:rsidRDefault="00425020" w:rsidP="00425020">
      <w:pPr>
        <w:rPr>
          <w:rFonts w:asciiTheme="minorHAnsi" w:eastAsia="Times New Roman" w:hAnsiTheme="minorHAnsi" w:cstheme="minorHAnsi"/>
          <w:color w:val="212121"/>
          <w:sz w:val="22"/>
          <w:szCs w:val="22"/>
        </w:rPr>
      </w:pPr>
      <w:r w:rsidRPr="003D71DF">
        <w:rPr>
          <w:rFonts w:asciiTheme="minorHAnsi" w:eastAsia="Times New Roman" w:hAnsiTheme="minorHAnsi" w:cstheme="minorHAnsi"/>
          <w:color w:val="212121"/>
          <w:sz w:val="22"/>
          <w:szCs w:val="22"/>
        </w:rPr>
        <w:t xml:space="preserve">Read the </w:t>
      </w:r>
      <w:hyperlink r:id="rId9" w:history="1">
        <w:r w:rsidRPr="003D71DF">
          <w:rPr>
            <w:rStyle w:val="Hyperlink"/>
            <w:rFonts w:asciiTheme="minorHAnsi" w:eastAsia="Times New Roman" w:hAnsiTheme="minorHAnsi" w:cstheme="minorHAnsi"/>
            <w:sz w:val="22"/>
            <w:szCs w:val="22"/>
          </w:rPr>
          <w:t xml:space="preserve">competition case </w:t>
        </w:r>
      </w:hyperlink>
      <w:r w:rsidRPr="003D71DF">
        <w:rPr>
          <w:rFonts w:asciiTheme="minorHAnsi" w:eastAsia="Times New Roman" w:hAnsiTheme="minorHAnsi" w:cstheme="minorHAnsi"/>
          <w:color w:val="212121"/>
          <w:sz w:val="22"/>
          <w:szCs w:val="22"/>
        </w:rPr>
        <w:t xml:space="preserve"> here and the </w:t>
      </w:r>
      <w:hyperlink r:id="rId10" w:history="1">
        <w:r w:rsidRPr="003D71DF">
          <w:rPr>
            <w:rStyle w:val="Hyperlink"/>
            <w:rFonts w:asciiTheme="minorHAnsi" w:eastAsia="Times New Roman" w:hAnsiTheme="minorHAnsi" w:cstheme="minorHAnsi"/>
            <w:sz w:val="22"/>
            <w:szCs w:val="22"/>
          </w:rPr>
          <w:t>rules</w:t>
        </w:r>
      </w:hyperlink>
      <w:r w:rsidRPr="003D71DF">
        <w:rPr>
          <w:rFonts w:asciiTheme="minorHAnsi" w:eastAsia="Times New Roman" w:hAnsiTheme="minorHAnsi" w:cstheme="minorHAnsi"/>
          <w:color w:val="212121"/>
          <w:sz w:val="22"/>
          <w:szCs w:val="22"/>
        </w:rPr>
        <w:t>.</w:t>
      </w:r>
    </w:p>
    <w:p w:rsidR="00425020" w:rsidRPr="003D71DF" w:rsidRDefault="00425020" w:rsidP="00425020">
      <w:pPr>
        <w:pStyle w:val="NormalWeb"/>
        <w:rPr>
          <w:rFonts w:asciiTheme="minorHAnsi" w:hAnsiTheme="minorHAnsi" w:cstheme="minorHAnsi"/>
          <w:color w:val="212121"/>
          <w:sz w:val="23"/>
          <w:szCs w:val="23"/>
        </w:rPr>
      </w:pPr>
    </w:p>
    <w:p w:rsidR="00425020" w:rsidRPr="003D71DF" w:rsidRDefault="00425020" w:rsidP="00425020">
      <w:pPr>
        <w:pStyle w:val="NormalWeb"/>
        <w:rPr>
          <w:rFonts w:asciiTheme="minorHAnsi" w:hAnsiTheme="minorHAnsi" w:cstheme="minorHAnsi"/>
          <w:color w:val="212121"/>
        </w:rPr>
      </w:pPr>
      <w:r w:rsidRPr="003D71DF">
        <w:rPr>
          <w:rFonts w:asciiTheme="minorHAnsi" w:hAnsiTheme="minorHAnsi" w:cstheme="minorHAnsi"/>
          <w:color w:val="212121"/>
          <w:sz w:val="22"/>
          <w:szCs w:val="22"/>
        </w:rPr>
        <w:t>In the past, the competition has been successfully run only wi</w:t>
      </w:r>
      <w:r w:rsidR="00417F7A" w:rsidRPr="003D71DF">
        <w:rPr>
          <w:rFonts w:asciiTheme="minorHAnsi" w:hAnsiTheme="minorHAnsi" w:cstheme="minorHAnsi"/>
          <w:color w:val="212121"/>
          <w:sz w:val="22"/>
          <w:szCs w:val="22"/>
        </w:rPr>
        <w:t>th the incredible support of </w:t>
      </w:r>
      <w:r w:rsidRPr="003D71DF">
        <w:rPr>
          <w:rFonts w:asciiTheme="minorHAnsi" w:hAnsiTheme="minorHAnsi" w:cstheme="minorHAnsi"/>
          <w:color w:val="212121"/>
          <w:sz w:val="22"/>
          <w:szCs w:val="22"/>
        </w:rPr>
        <w:t>the Graduate human rights community at Oxford. In order to run this year's competition as well we are dependent on BCLs, MLFs, DPhils, and MPhils who are working on or are interested in international and comparative human rights law. </w:t>
      </w:r>
    </w:p>
    <w:p w:rsidR="00425020" w:rsidRPr="003D71DF" w:rsidRDefault="00425020" w:rsidP="00425020">
      <w:pPr>
        <w:pStyle w:val="NormalWeb"/>
        <w:rPr>
          <w:rFonts w:asciiTheme="minorHAnsi" w:hAnsiTheme="minorHAnsi" w:cstheme="minorHAnsi"/>
          <w:color w:val="212121"/>
        </w:rPr>
      </w:pPr>
    </w:p>
    <w:p w:rsidR="00425020" w:rsidRPr="003D71DF" w:rsidRDefault="00425020" w:rsidP="00425020">
      <w:pPr>
        <w:pStyle w:val="NormalWeb"/>
        <w:rPr>
          <w:rFonts w:asciiTheme="minorHAnsi" w:hAnsiTheme="minorHAnsi" w:cstheme="minorHAnsi"/>
          <w:color w:val="212121"/>
        </w:rPr>
      </w:pPr>
      <w:r w:rsidRPr="003D71DF">
        <w:rPr>
          <w:rFonts w:asciiTheme="minorHAnsi" w:hAnsiTheme="minorHAnsi" w:cstheme="minorHAnsi"/>
          <w:color w:val="212121"/>
          <w:sz w:val="22"/>
          <w:szCs w:val="22"/>
        </w:rPr>
        <w:t>If you are able to volunteer your time to judge rounds on the 16th and/or 17th February 2019, please fill in</w:t>
      </w:r>
      <w:hyperlink r:id="rId11" w:history="1">
        <w:r w:rsidRPr="003D71DF">
          <w:rPr>
            <w:rStyle w:val="Hyperlink"/>
            <w:rFonts w:asciiTheme="minorHAnsi" w:hAnsiTheme="minorHAnsi" w:cstheme="minorHAnsi"/>
            <w:sz w:val="22"/>
            <w:szCs w:val="22"/>
          </w:rPr>
          <w:t xml:space="preserve"> this form </w:t>
        </w:r>
      </w:hyperlink>
      <w:r w:rsidRPr="003D71DF">
        <w:rPr>
          <w:rFonts w:asciiTheme="minorHAnsi" w:hAnsiTheme="minorHAnsi" w:cstheme="minorHAnsi"/>
          <w:color w:val="212121"/>
          <w:sz w:val="22"/>
          <w:szCs w:val="22"/>
        </w:rPr>
        <w:t>by 3rd February 2019. </w:t>
      </w:r>
    </w:p>
    <w:p w:rsidR="00425020" w:rsidRPr="003D71DF" w:rsidRDefault="00425020" w:rsidP="00425020">
      <w:pPr>
        <w:pStyle w:val="NormalWeb"/>
        <w:rPr>
          <w:rFonts w:asciiTheme="minorHAnsi" w:hAnsiTheme="minorHAnsi" w:cstheme="minorHAnsi"/>
          <w:color w:val="212121"/>
        </w:rPr>
      </w:pPr>
    </w:p>
    <w:p w:rsidR="00425020" w:rsidRPr="003D71DF" w:rsidRDefault="00425020" w:rsidP="00425020">
      <w:pPr>
        <w:pStyle w:val="NormalWeb"/>
        <w:rPr>
          <w:rFonts w:asciiTheme="minorHAnsi" w:hAnsiTheme="minorHAnsi" w:cstheme="minorHAnsi"/>
          <w:color w:val="212121"/>
        </w:rPr>
      </w:pPr>
      <w:r w:rsidRPr="003D71DF">
        <w:rPr>
          <w:rFonts w:asciiTheme="minorHAnsi" w:hAnsiTheme="minorHAnsi" w:cstheme="minorHAnsi"/>
          <w:color w:val="212121"/>
          <w:sz w:val="22"/>
          <w:szCs w:val="22"/>
        </w:rPr>
        <w:t>We hope that you will participate in fostering a community of human rights lawyers through oral advocacy training and research. </w:t>
      </w:r>
    </w:p>
    <w:p w:rsidR="00E27197" w:rsidRDefault="003D71DF"/>
    <w:sectPr w:rsidR="00E27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08"/>
    <w:rsid w:val="000C6B05"/>
    <w:rsid w:val="001642FA"/>
    <w:rsid w:val="0025778B"/>
    <w:rsid w:val="003D71DF"/>
    <w:rsid w:val="00417F7A"/>
    <w:rsid w:val="00425020"/>
    <w:rsid w:val="00470008"/>
    <w:rsid w:val="00D412AF"/>
    <w:rsid w:val="00D93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0CC8"/>
  <w15:chartTrackingRefBased/>
  <w15:docId w15:val="{D698363A-ED31-40FA-A676-5BA46FA1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00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008"/>
    <w:rPr>
      <w:color w:val="0000FF"/>
      <w:u w:val="single"/>
    </w:rPr>
  </w:style>
  <w:style w:type="paragraph" w:styleId="NormalWeb">
    <w:name w:val="Normal (Web)"/>
    <w:basedOn w:val="Normal"/>
    <w:uiPriority w:val="99"/>
    <w:semiHidden/>
    <w:unhideWhenUsed/>
    <w:rsid w:val="001642FA"/>
  </w:style>
  <w:style w:type="paragraph" w:customStyle="1" w:styleId="xmsonormal">
    <w:name w:val="x_msonormal"/>
    <w:basedOn w:val="Normal"/>
    <w:uiPriority w:val="99"/>
    <w:semiHidden/>
    <w:rsid w:val="001642FA"/>
  </w:style>
  <w:style w:type="character" w:customStyle="1" w:styleId="contextualextensionhighlight">
    <w:name w:val="contextualextensionhighlight"/>
    <w:basedOn w:val="DefaultParagraphFont"/>
    <w:rsid w:val="00425020"/>
  </w:style>
  <w:style w:type="character" w:customStyle="1" w:styleId="xapple-converted-space">
    <w:name w:val="x_apple-converted-space"/>
    <w:basedOn w:val="DefaultParagraphFont"/>
    <w:rsid w:val="0042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44761">
      <w:bodyDiv w:val="1"/>
      <w:marLeft w:val="0"/>
      <w:marRight w:val="0"/>
      <w:marTop w:val="0"/>
      <w:marBottom w:val="0"/>
      <w:divBdr>
        <w:top w:val="none" w:sz="0" w:space="0" w:color="auto"/>
        <w:left w:val="none" w:sz="0" w:space="0" w:color="auto"/>
        <w:bottom w:val="none" w:sz="0" w:space="0" w:color="auto"/>
        <w:right w:val="none" w:sz="0" w:space="0" w:color="auto"/>
      </w:divBdr>
    </w:div>
    <w:div w:id="1419057636">
      <w:bodyDiv w:val="1"/>
      <w:marLeft w:val="0"/>
      <w:marRight w:val="0"/>
      <w:marTop w:val="0"/>
      <w:marBottom w:val="0"/>
      <w:divBdr>
        <w:top w:val="none" w:sz="0" w:space="0" w:color="auto"/>
        <w:left w:val="none" w:sz="0" w:space="0" w:color="auto"/>
        <w:bottom w:val="none" w:sz="0" w:space="0" w:color="auto"/>
        <w:right w:val="none" w:sz="0" w:space="0" w:color="auto"/>
      </w:divBdr>
    </w:div>
    <w:div w:id="1593002320">
      <w:bodyDiv w:val="1"/>
      <w:marLeft w:val="0"/>
      <w:marRight w:val="0"/>
      <w:marTop w:val="0"/>
      <w:marBottom w:val="0"/>
      <w:divBdr>
        <w:top w:val="none" w:sz="0" w:space="0" w:color="auto"/>
        <w:left w:val="none" w:sz="0" w:space="0" w:color="auto"/>
        <w:bottom w:val="none" w:sz="0" w:space="0" w:color="auto"/>
        <w:right w:val="none" w:sz="0" w:space="0" w:color="auto"/>
      </w:divBdr>
    </w:div>
    <w:div w:id="17393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up.ac.za/worldmoo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goo.gl/forms/YYkiSg0zQm0gxWvw1" TargetMode="External"/><Relationship Id="rId5" Type="http://schemas.openxmlformats.org/officeDocument/2006/relationships/image" Target="media/image2.jpeg"/><Relationship Id="rId10" Type="http://schemas.openxmlformats.org/officeDocument/2006/relationships/hyperlink" Target="file:///C:\Users\Emma\Nexus365\Zoe%20Davis-Heaney%20-%20Programmatic\Events\2019-02%20Human%20Rights%20Moot\Blackstone%20Human%20Rights%20Moot%202019%20Rules%20.pdf" TargetMode="External"/><Relationship Id="rId4" Type="http://schemas.openxmlformats.org/officeDocument/2006/relationships/image" Target="media/image1.gif"/><Relationship Id="rId9" Type="http://schemas.openxmlformats.org/officeDocument/2006/relationships/hyperlink" Target="file:///C:\Users\Emma\Nexus365\Zoe%20Davis-Heaney%20-%20Programmatic\Events\2019-02%20Human%20Rights%20Moot\Blackstone%20Moot%20and%20Mandela%20Moot%20Competition%20Case%202019%20-%20competition%20c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Pruszewicz</dc:creator>
  <cp:keywords/>
  <dc:description/>
  <cp:lastModifiedBy>Emma Pruszewicz</cp:lastModifiedBy>
  <cp:revision>4</cp:revision>
  <dcterms:created xsi:type="dcterms:W3CDTF">2019-01-17T13:28:00Z</dcterms:created>
  <dcterms:modified xsi:type="dcterms:W3CDTF">2019-01-17T13:30:00Z</dcterms:modified>
</cp:coreProperties>
</file>