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43D2F" w14:textId="77777777" w:rsidR="005A6BB2" w:rsidRDefault="005A6BB2" w:rsidP="009E0BA1">
      <w:pPr>
        <w:spacing w:after="0" w:line="240" w:lineRule="auto"/>
        <w:jc w:val="both"/>
        <w:rPr>
          <w:rFonts w:ascii="Tahoma" w:hAnsi="Tahoma"/>
          <w:i/>
          <w:color w:val="000000"/>
          <w:sz w:val="20"/>
        </w:rPr>
      </w:pPr>
    </w:p>
    <w:p w14:paraId="6B69BD1E" w14:textId="77777777" w:rsidR="009E0BA1" w:rsidRDefault="00BD4E61" w:rsidP="009E0BA1">
      <w:pPr>
        <w:spacing w:after="0" w:line="240" w:lineRule="auto"/>
        <w:jc w:val="both"/>
        <w:rPr>
          <w:rFonts w:ascii="Times New Roman" w:hAnsi="Times New Roman" w:cs="Times New Roman"/>
          <w:sz w:val="24"/>
          <w:szCs w:val="24"/>
        </w:rPr>
      </w:pPr>
      <w:r>
        <w:rPr>
          <w:rFonts w:ascii="Tahoma" w:hAnsi="Tahoma"/>
          <w:i/>
          <w:color w:val="000000"/>
          <w:sz w:val="20"/>
        </w:rPr>
        <w:t>ERA Forum</w:t>
      </w:r>
      <w:r>
        <w:rPr>
          <w:rFonts w:ascii="Tahoma" w:hAnsi="Tahoma"/>
          <w:color w:val="000000"/>
          <w:sz w:val="20"/>
        </w:rPr>
        <w:t xml:space="preserve"> (2014) 15:593–608, DOI 10.1007/s12027-014-0366-8</w:t>
      </w:r>
    </w:p>
    <w:p w14:paraId="52892999" w14:textId="77777777" w:rsidR="009E0BA1" w:rsidRDefault="009E0BA1" w:rsidP="009E0BA1">
      <w:pPr>
        <w:spacing w:after="0" w:line="240" w:lineRule="auto"/>
        <w:jc w:val="both"/>
        <w:rPr>
          <w:rFonts w:ascii="Times New Roman" w:hAnsi="Times New Roman" w:cs="Times New Roman"/>
          <w:sz w:val="24"/>
          <w:szCs w:val="24"/>
        </w:rPr>
      </w:pPr>
    </w:p>
    <w:p w14:paraId="730DBC9A" w14:textId="040F5DE9" w:rsidR="002E1D39" w:rsidRDefault="005A7016" w:rsidP="00AF4C22">
      <w:pPr>
        <w:spacing w:after="0" w:line="240" w:lineRule="auto"/>
        <w:jc w:val="center"/>
        <w:rPr>
          <w:rFonts w:ascii="Times New Roman" w:hAnsi="Times New Roman" w:cs="Times New Roman"/>
          <w:b/>
          <w:sz w:val="24"/>
          <w:szCs w:val="24"/>
        </w:rPr>
      </w:pPr>
      <w:r>
        <w:rPr>
          <w:rFonts w:ascii="Times New Roman" w:hAnsi="Times New Roman"/>
          <w:b/>
          <w:sz w:val="24"/>
        </w:rPr>
        <w:t>VERBRAUCHER-</w:t>
      </w:r>
      <w:r w:rsidR="00131FCC">
        <w:rPr>
          <w:rFonts w:ascii="Times New Roman" w:hAnsi="Times New Roman"/>
          <w:b/>
          <w:sz w:val="24"/>
        </w:rPr>
        <w:t>OMBUDSSTELLEN</w:t>
      </w:r>
      <w:r>
        <w:rPr>
          <w:rFonts w:ascii="Times New Roman" w:hAnsi="Times New Roman"/>
          <w:b/>
          <w:sz w:val="24"/>
        </w:rPr>
        <w:t>: BESSERERE REGULIERUNG UND BEILEGUNG VON STREITIGKEITEN</w:t>
      </w:r>
    </w:p>
    <w:p w14:paraId="710960F8" w14:textId="77777777" w:rsidR="009E0BA1" w:rsidRDefault="009E0BA1" w:rsidP="00AF4C22">
      <w:pPr>
        <w:spacing w:after="0" w:line="240" w:lineRule="auto"/>
        <w:jc w:val="center"/>
        <w:rPr>
          <w:rFonts w:ascii="Times New Roman" w:hAnsi="Times New Roman" w:cs="Times New Roman"/>
          <w:sz w:val="24"/>
          <w:szCs w:val="24"/>
        </w:rPr>
      </w:pPr>
    </w:p>
    <w:p w14:paraId="0FDA0235" w14:textId="77777777" w:rsidR="00AF4C22" w:rsidRDefault="00AF4C22" w:rsidP="00AF4C22">
      <w:pPr>
        <w:spacing w:after="0" w:line="240" w:lineRule="auto"/>
        <w:jc w:val="center"/>
        <w:rPr>
          <w:rFonts w:ascii="Times New Roman" w:hAnsi="Times New Roman" w:cs="Times New Roman"/>
          <w:sz w:val="24"/>
          <w:szCs w:val="24"/>
        </w:rPr>
      </w:pPr>
      <w:r>
        <w:rPr>
          <w:rFonts w:ascii="Times New Roman" w:hAnsi="Times New Roman"/>
          <w:sz w:val="24"/>
        </w:rPr>
        <w:t>Christopher Hodges</w:t>
      </w:r>
      <w:r>
        <w:rPr>
          <w:rStyle w:val="Funotenzeichen"/>
          <w:rFonts w:ascii="Times New Roman" w:hAnsi="Times New Roman"/>
          <w:sz w:val="24"/>
        </w:rPr>
        <w:footnoteReference w:id="1"/>
      </w:r>
    </w:p>
    <w:p w14:paraId="39936553" w14:textId="77777777" w:rsidR="009E0BA1" w:rsidRDefault="009E0BA1" w:rsidP="009E0BA1">
      <w:pPr>
        <w:spacing w:after="0" w:line="240" w:lineRule="auto"/>
        <w:jc w:val="both"/>
        <w:rPr>
          <w:rFonts w:ascii="Times New Roman" w:hAnsi="Times New Roman" w:cs="Times New Roman"/>
          <w:sz w:val="24"/>
          <w:szCs w:val="24"/>
        </w:rPr>
      </w:pPr>
    </w:p>
    <w:p w14:paraId="66A2F239" w14:textId="77777777" w:rsidR="009E0BA1" w:rsidRDefault="009E0BA1" w:rsidP="009E0BA1">
      <w:pPr>
        <w:spacing w:after="0" w:line="240" w:lineRule="auto"/>
        <w:jc w:val="both"/>
        <w:rPr>
          <w:rFonts w:ascii="Times New Roman" w:hAnsi="Times New Roman" w:cs="Times New Roman"/>
          <w:sz w:val="24"/>
          <w:szCs w:val="24"/>
        </w:rPr>
      </w:pPr>
    </w:p>
    <w:p w14:paraId="14336314" w14:textId="461E3967" w:rsidR="009E0BA1" w:rsidRDefault="009E0BA1" w:rsidP="009E0BA1">
      <w:pPr>
        <w:spacing w:after="0" w:line="240" w:lineRule="auto"/>
        <w:jc w:val="both"/>
        <w:rPr>
          <w:rFonts w:ascii="Times New Roman" w:hAnsi="Times New Roman" w:cs="Times New Roman"/>
          <w:sz w:val="24"/>
          <w:szCs w:val="24"/>
        </w:rPr>
      </w:pPr>
      <w:r>
        <w:rPr>
          <w:rFonts w:ascii="Times New Roman" w:hAnsi="Times New Roman"/>
          <w:b/>
          <w:sz w:val="24"/>
        </w:rPr>
        <w:t xml:space="preserve">Abstract: </w:t>
      </w:r>
      <w:r>
        <w:rPr>
          <w:rFonts w:ascii="Times New Roman" w:hAnsi="Times New Roman"/>
          <w:sz w:val="24"/>
        </w:rPr>
        <w:t xml:space="preserve">Dieses Dokument diskutiert drei wesentliche Punkte. Erstens </w:t>
      </w:r>
      <w:r w:rsidR="008E4374">
        <w:rPr>
          <w:rFonts w:ascii="Times New Roman" w:hAnsi="Times New Roman"/>
          <w:sz w:val="24"/>
        </w:rPr>
        <w:t xml:space="preserve">bietet </w:t>
      </w:r>
      <w:r>
        <w:rPr>
          <w:rFonts w:ascii="Times New Roman" w:hAnsi="Times New Roman"/>
          <w:sz w:val="24"/>
        </w:rPr>
        <w:t>die Implementierung der EU-Richtlinie über alternative Streitbeilegung in</w:t>
      </w:r>
      <w:r w:rsidR="008803BC">
        <w:rPr>
          <w:rFonts w:ascii="Times New Roman" w:hAnsi="Times New Roman"/>
          <w:sz w:val="24"/>
        </w:rPr>
        <w:t xml:space="preserve"> </w:t>
      </w:r>
      <w:r>
        <w:rPr>
          <w:rFonts w:ascii="Times New Roman" w:hAnsi="Times New Roman"/>
          <w:sz w:val="24"/>
        </w:rPr>
        <w:t>Verbraucherangelegenheiten (Alternative Dispute Resolution – ADR) die Chance, den Zugang zu</w:t>
      </w:r>
      <w:r w:rsidR="00310845">
        <w:rPr>
          <w:rFonts w:ascii="Times New Roman" w:hAnsi="Times New Roman"/>
          <w:sz w:val="24"/>
        </w:rPr>
        <w:t xml:space="preserve"> gerechten Lösungen</w:t>
      </w:r>
      <w:r w:rsidR="008E4374">
        <w:rPr>
          <w:rFonts w:ascii="Times New Roman" w:hAnsi="Times New Roman"/>
          <w:sz w:val="24"/>
        </w:rPr>
        <w:t xml:space="preserve"> </w:t>
      </w:r>
      <w:r>
        <w:rPr>
          <w:rFonts w:ascii="Times New Roman" w:hAnsi="Times New Roman"/>
          <w:sz w:val="24"/>
        </w:rPr>
        <w:t xml:space="preserve">signifikant zu verbessern. </w:t>
      </w:r>
      <w:r w:rsidR="008E4374">
        <w:rPr>
          <w:rFonts w:ascii="Times New Roman" w:hAnsi="Times New Roman"/>
          <w:sz w:val="24"/>
        </w:rPr>
        <w:t>Aber s</w:t>
      </w:r>
      <w:r>
        <w:rPr>
          <w:rFonts w:ascii="Times New Roman" w:hAnsi="Times New Roman"/>
          <w:sz w:val="24"/>
        </w:rPr>
        <w:t xml:space="preserve">ie bietet den Mitgliedsstaaten darüber hinaus </w:t>
      </w:r>
      <w:r w:rsidR="008E4374">
        <w:rPr>
          <w:rFonts w:ascii="Times New Roman" w:hAnsi="Times New Roman"/>
          <w:sz w:val="24"/>
        </w:rPr>
        <w:t xml:space="preserve">wesentlich breitere </w:t>
      </w:r>
      <w:r>
        <w:rPr>
          <w:rFonts w:ascii="Times New Roman" w:hAnsi="Times New Roman"/>
          <w:sz w:val="24"/>
        </w:rPr>
        <w:t xml:space="preserve">Möglichkeiten, </w:t>
      </w:r>
      <w:r w:rsidR="008E4374">
        <w:rPr>
          <w:rFonts w:ascii="Times New Roman" w:hAnsi="Times New Roman"/>
          <w:sz w:val="24"/>
        </w:rPr>
        <w:t xml:space="preserve">qualitativ viel </w:t>
      </w:r>
      <w:r>
        <w:rPr>
          <w:rFonts w:ascii="Times New Roman" w:hAnsi="Times New Roman"/>
          <w:sz w:val="24"/>
        </w:rPr>
        <w:t>mehr zu erreichen</w:t>
      </w:r>
      <w:r w:rsidR="008E4374">
        <w:rPr>
          <w:rFonts w:ascii="Times New Roman" w:hAnsi="Times New Roman"/>
          <w:sz w:val="24"/>
        </w:rPr>
        <w:t>:</w:t>
      </w:r>
      <w:r>
        <w:rPr>
          <w:rFonts w:ascii="Times New Roman" w:hAnsi="Times New Roman"/>
          <w:sz w:val="24"/>
        </w:rPr>
        <w:t xml:space="preserve"> </w:t>
      </w:r>
      <w:r w:rsidR="00310845">
        <w:rPr>
          <w:rFonts w:ascii="Times New Roman" w:hAnsi="Times New Roman"/>
          <w:sz w:val="24"/>
        </w:rPr>
        <w:t>Zum zweiten kann nämlich d</w:t>
      </w:r>
      <w:r>
        <w:rPr>
          <w:rFonts w:ascii="Times New Roman" w:hAnsi="Times New Roman"/>
          <w:sz w:val="24"/>
        </w:rPr>
        <w:t xml:space="preserve">ie Auswahl eines bestimmten Systems zur Beilegung von Verbraucherstreitigkeiten (Consumer Dispute Resolution – CDR) weitreichende wirtschaftliche Konsequenzen haben. Ein CDR-System auf der Basis </w:t>
      </w:r>
      <w:r w:rsidR="008E4374">
        <w:rPr>
          <w:rFonts w:ascii="Times New Roman" w:hAnsi="Times New Roman"/>
          <w:sz w:val="24"/>
        </w:rPr>
        <w:t xml:space="preserve">von </w:t>
      </w:r>
      <w:r w:rsidR="00310845">
        <w:rPr>
          <w:rFonts w:ascii="Times New Roman" w:hAnsi="Times New Roman"/>
          <w:sz w:val="24"/>
        </w:rPr>
        <w:t>Schiedsv</w:t>
      </w:r>
      <w:r w:rsidR="008E4374">
        <w:rPr>
          <w:rFonts w:ascii="Times New Roman" w:hAnsi="Times New Roman"/>
          <w:sz w:val="24"/>
        </w:rPr>
        <w:t xml:space="preserve">erfahren </w:t>
      </w:r>
      <w:r>
        <w:rPr>
          <w:rFonts w:ascii="Times New Roman" w:hAnsi="Times New Roman"/>
          <w:sz w:val="24"/>
        </w:rPr>
        <w:t xml:space="preserve">kann </w:t>
      </w:r>
      <w:r w:rsidR="001359FF">
        <w:rPr>
          <w:rFonts w:ascii="Times New Roman" w:hAnsi="Times New Roman"/>
          <w:sz w:val="24"/>
        </w:rPr>
        <w:t xml:space="preserve">für </w:t>
      </w:r>
      <w:r w:rsidR="008E4374">
        <w:rPr>
          <w:rFonts w:ascii="Times New Roman" w:hAnsi="Times New Roman"/>
          <w:sz w:val="24"/>
        </w:rPr>
        <w:t>Zwecke de</w:t>
      </w:r>
      <w:r>
        <w:rPr>
          <w:rFonts w:ascii="Times New Roman" w:hAnsi="Times New Roman"/>
          <w:sz w:val="24"/>
        </w:rPr>
        <w:t xml:space="preserve">r </w:t>
      </w:r>
      <w:r w:rsidR="008E4374">
        <w:rPr>
          <w:rFonts w:ascii="Times New Roman" w:hAnsi="Times New Roman"/>
          <w:sz w:val="24"/>
        </w:rPr>
        <w:t xml:space="preserve">Konfliktlösung </w:t>
      </w:r>
      <w:r>
        <w:rPr>
          <w:rFonts w:ascii="Times New Roman" w:hAnsi="Times New Roman"/>
          <w:sz w:val="24"/>
        </w:rPr>
        <w:t xml:space="preserve">voll akzeptabel sein, </w:t>
      </w:r>
      <w:r w:rsidR="008E4374">
        <w:rPr>
          <w:rFonts w:ascii="Times New Roman" w:hAnsi="Times New Roman"/>
          <w:sz w:val="24"/>
        </w:rPr>
        <w:t xml:space="preserve">jedoch </w:t>
      </w:r>
      <w:r>
        <w:rPr>
          <w:rFonts w:ascii="Times New Roman" w:hAnsi="Times New Roman"/>
          <w:sz w:val="24"/>
        </w:rPr>
        <w:t xml:space="preserve">dürften sich </w:t>
      </w:r>
      <w:r w:rsidR="00131FCC">
        <w:rPr>
          <w:rFonts w:ascii="Times New Roman" w:hAnsi="Times New Roman"/>
          <w:sz w:val="24"/>
        </w:rPr>
        <w:t>aus einem Ombudsstellen</w:t>
      </w:r>
      <w:r w:rsidR="008E4374">
        <w:rPr>
          <w:rFonts w:ascii="Times New Roman" w:hAnsi="Times New Roman"/>
          <w:sz w:val="24"/>
        </w:rPr>
        <w:t xml:space="preserve">-System </w:t>
      </w:r>
      <w:r>
        <w:rPr>
          <w:rFonts w:ascii="Times New Roman" w:hAnsi="Times New Roman"/>
          <w:sz w:val="24"/>
        </w:rPr>
        <w:t>erhebliche zusätzliche Vorteile ergeben</w:t>
      </w:r>
      <w:r w:rsidR="008E4374">
        <w:rPr>
          <w:rFonts w:ascii="Times New Roman" w:hAnsi="Times New Roman"/>
          <w:sz w:val="24"/>
        </w:rPr>
        <w:t xml:space="preserve">:  </w:t>
      </w:r>
      <w:r>
        <w:rPr>
          <w:rFonts w:ascii="Times New Roman" w:hAnsi="Times New Roman"/>
          <w:sz w:val="24"/>
        </w:rPr>
        <w:t xml:space="preserve">Verbraucher </w:t>
      </w:r>
      <w:r w:rsidR="008E4374">
        <w:rPr>
          <w:rFonts w:ascii="Times New Roman" w:hAnsi="Times New Roman"/>
          <w:sz w:val="24"/>
        </w:rPr>
        <w:t xml:space="preserve">erhalten </w:t>
      </w:r>
      <w:r w:rsidR="000C5903">
        <w:rPr>
          <w:rFonts w:ascii="Times New Roman" w:hAnsi="Times New Roman"/>
          <w:sz w:val="24"/>
        </w:rPr>
        <w:t xml:space="preserve">dadurch </w:t>
      </w:r>
      <w:r>
        <w:rPr>
          <w:rFonts w:ascii="Times New Roman" w:hAnsi="Times New Roman"/>
          <w:sz w:val="24"/>
        </w:rPr>
        <w:t>umfassende Beratung</w:t>
      </w:r>
      <w:r w:rsidR="008E4374">
        <w:rPr>
          <w:rFonts w:ascii="Times New Roman" w:hAnsi="Times New Roman"/>
          <w:sz w:val="24"/>
        </w:rPr>
        <w:t>,</w:t>
      </w:r>
      <w:r>
        <w:rPr>
          <w:rFonts w:ascii="Times New Roman" w:hAnsi="Times New Roman"/>
          <w:sz w:val="24"/>
        </w:rPr>
        <w:t xml:space="preserve"> und signifikante Mengen von </w:t>
      </w:r>
      <w:r w:rsidR="00AE7196">
        <w:rPr>
          <w:rFonts w:ascii="Times New Roman" w:hAnsi="Times New Roman"/>
          <w:sz w:val="24"/>
        </w:rPr>
        <w:t>I</w:t>
      </w:r>
      <w:r>
        <w:rPr>
          <w:rFonts w:ascii="Times New Roman" w:hAnsi="Times New Roman"/>
          <w:sz w:val="24"/>
        </w:rPr>
        <w:t xml:space="preserve">nformationen </w:t>
      </w:r>
      <w:r w:rsidR="00AE7196">
        <w:rPr>
          <w:rFonts w:ascii="Times New Roman" w:hAnsi="Times New Roman"/>
          <w:sz w:val="24"/>
        </w:rPr>
        <w:t xml:space="preserve">über die Wirkungsweise der Regulierung </w:t>
      </w:r>
      <w:r w:rsidR="008E4374">
        <w:rPr>
          <w:rFonts w:ascii="Times New Roman" w:hAnsi="Times New Roman"/>
          <w:sz w:val="24"/>
        </w:rPr>
        <w:t xml:space="preserve">werden </w:t>
      </w:r>
      <w:r>
        <w:rPr>
          <w:rFonts w:ascii="Times New Roman" w:hAnsi="Times New Roman"/>
          <w:sz w:val="24"/>
        </w:rPr>
        <w:t xml:space="preserve">erfasst, die für </w:t>
      </w:r>
      <w:r w:rsidR="00310845">
        <w:rPr>
          <w:rFonts w:ascii="Times New Roman" w:hAnsi="Times New Roman"/>
          <w:sz w:val="24"/>
        </w:rPr>
        <w:t xml:space="preserve">Zwecke der Marktbeaufsichtigung </w:t>
      </w:r>
      <w:r>
        <w:rPr>
          <w:rFonts w:ascii="Times New Roman" w:hAnsi="Times New Roman"/>
          <w:sz w:val="24"/>
        </w:rPr>
        <w:t xml:space="preserve">und </w:t>
      </w:r>
      <w:r w:rsidR="00310845">
        <w:rPr>
          <w:rFonts w:ascii="Times New Roman" w:hAnsi="Times New Roman"/>
          <w:sz w:val="24"/>
        </w:rPr>
        <w:t xml:space="preserve">durch die </w:t>
      </w:r>
      <w:r>
        <w:rPr>
          <w:rFonts w:ascii="Times New Roman" w:hAnsi="Times New Roman"/>
          <w:sz w:val="24"/>
        </w:rPr>
        <w:t xml:space="preserve">Regulierungsbehörden gut genutzt werden können. Drittens besteht die Möglichkeit, </w:t>
      </w:r>
      <w:r w:rsidR="008E4374">
        <w:rPr>
          <w:rFonts w:ascii="Times New Roman" w:hAnsi="Times New Roman"/>
          <w:sz w:val="24"/>
        </w:rPr>
        <w:t xml:space="preserve">bereits bestehende </w:t>
      </w:r>
      <w:r>
        <w:rPr>
          <w:rFonts w:ascii="Times New Roman" w:hAnsi="Times New Roman"/>
          <w:sz w:val="24"/>
        </w:rPr>
        <w:t xml:space="preserve">Systeme zur Streitbeilegung </w:t>
      </w:r>
      <w:r w:rsidR="00DB0473">
        <w:rPr>
          <w:rFonts w:ascii="Times New Roman" w:hAnsi="Times New Roman"/>
          <w:sz w:val="24"/>
        </w:rPr>
        <w:t xml:space="preserve">aller </w:t>
      </w:r>
      <w:r>
        <w:rPr>
          <w:rFonts w:ascii="Times New Roman" w:hAnsi="Times New Roman"/>
          <w:sz w:val="24"/>
        </w:rPr>
        <w:t>Art zu modernisieren. D</w:t>
      </w:r>
      <w:r w:rsidR="00310845">
        <w:rPr>
          <w:rFonts w:ascii="Times New Roman" w:hAnsi="Times New Roman"/>
          <w:sz w:val="24"/>
        </w:rPr>
        <w:t>ie Technik der</w:t>
      </w:r>
      <w:r>
        <w:rPr>
          <w:rFonts w:ascii="Times New Roman" w:hAnsi="Times New Roman"/>
          <w:sz w:val="24"/>
        </w:rPr>
        <w:t xml:space="preserve"> Mediation </w:t>
      </w:r>
      <w:proofErr w:type="gramStart"/>
      <w:r>
        <w:rPr>
          <w:rFonts w:ascii="Times New Roman" w:hAnsi="Times New Roman"/>
          <w:sz w:val="24"/>
        </w:rPr>
        <w:t>ist</w:t>
      </w:r>
      <w:proofErr w:type="gramEnd"/>
      <w:r>
        <w:rPr>
          <w:rFonts w:ascii="Times New Roman" w:hAnsi="Times New Roman"/>
          <w:sz w:val="24"/>
        </w:rPr>
        <w:t xml:space="preserve"> </w:t>
      </w:r>
      <w:r w:rsidR="00310845">
        <w:rPr>
          <w:rFonts w:ascii="Times New Roman" w:hAnsi="Times New Roman"/>
          <w:sz w:val="24"/>
        </w:rPr>
        <w:t xml:space="preserve">zwar </w:t>
      </w:r>
      <w:r w:rsidR="000C5903">
        <w:rPr>
          <w:rFonts w:ascii="Times New Roman" w:hAnsi="Times New Roman"/>
          <w:sz w:val="24"/>
        </w:rPr>
        <w:t xml:space="preserve">richtigerweise schon zu einem </w:t>
      </w:r>
      <w:r>
        <w:rPr>
          <w:rFonts w:ascii="Times New Roman" w:hAnsi="Times New Roman"/>
          <w:sz w:val="24"/>
        </w:rPr>
        <w:t>Teil de</w:t>
      </w:r>
      <w:r w:rsidR="008E4374">
        <w:rPr>
          <w:rFonts w:ascii="Times New Roman" w:hAnsi="Times New Roman"/>
          <w:sz w:val="24"/>
        </w:rPr>
        <w:t xml:space="preserve">s allgemeinen </w:t>
      </w:r>
      <w:r w:rsidR="00310845">
        <w:rPr>
          <w:rFonts w:ascii="Times New Roman" w:hAnsi="Times New Roman"/>
          <w:sz w:val="24"/>
        </w:rPr>
        <w:t>Justiz</w:t>
      </w:r>
      <w:r w:rsidR="008E4374">
        <w:rPr>
          <w:rFonts w:ascii="Times New Roman" w:hAnsi="Times New Roman"/>
          <w:sz w:val="24"/>
        </w:rPr>
        <w:t>systems</w:t>
      </w:r>
      <w:r>
        <w:rPr>
          <w:rFonts w:ascii="Times New Roman" w:hAnsi="Times New Roman"/>
          <w:sz w:val="24"/>
        </w:rPr>
        <w:t xml:space="preserve"> geworden. Die CDR-Systeme zeigen jedoch, dass neue</w:t>
      </w:r>
      <w:r w:rsidR="008E4374">
        <w:rPr>
          <w:rFonts w:ascii="Times New Roman" w:hAnsi="Times New Roman"/>
          <w:sz w:val="24"/>
        </w:rPr>
        <w:t xml:space="preserve">, spezialisierte </w:t>
      </w:r>
      <w:r w:rsidR="00310845">
        <w:rPr>
          <w:rFonts w:ascii="Times New Roman" w:hAnsi="Times New Roman"/>
          <w:sz w:val="24"/>
        </w:rPr>
        <w:t xml:space="preserve">Architekturen </w:t>
      </w:r>
      <w:r>
        <w:rPr>
          <w:rFonts w:ascii="Times New Roman" w:hAnsi="Times New Roman"/>
          <w:sz w:val="24"/>
        </w:rPr>
        <w:t xml:space="preserve">für bestimmte </w:t>
      </w:r>
      <w:r w:rsidR="008E4374">
        <w:rPr>
          <w:rFonts w:ascii="Times New Roman" w:hAnsi="Times New Roman"/>
          <w:sz w:val="24"/>
        </w:rPr>
        <w:t xml:space="preserve">Arten von </w:t>
      </w:r>
      <w:r>
        <w:rPr>
          <w:rFonts w:ascii="Times New Roman" w:hAnsi="Times New Roman"/>
          <w:sz w:val="24"/>
        </w:rPr>
        <w:t xml:space="preserve">Streitigkeiten </w:t>
      </w:r>
      <w:r w:rsidR="00054284">
        <w:rPr>
          <w:rFonts w:ascii="Times New Roman" w:hAnsi="Times New Roman"/>
          <w:sz w:val="24"/>
        </w:rPr>
        <w:t xml:space="preserve">wirksamere </w:t>
      </w:r>
      <w:r>
        <w:rPr>
          <w:rFonts w:ascii="Times New Roman" w:hAnsi="Times New Roman"/>
          <w:sz w:val="24"/>
        </w:rPr>
        <w:t xml:space="preserve">und wirtschaftlichere Streitbeilegung </w:t>
      </w:r>
      <w:r w:rsidR="00054284">
        <w:rPr>
          <w:rFonts w:ascii="Times New Roman" w:hAnsi="Times New Roman"/>
          <w:sz w:val="24"/>
        </w:rPr>
        <w:t>bewirken können</w:t>
      </w:r>
      <w:r>
        <w:rPr>
          <w:rFonts w:ascii="Times New Roman" w:hAnsi="Times New Roman"/>
          <w:sz w:val="24"/>
        </w:rPr>
        <w:t xml:space="preserve">. </w:t>
      </w:r>
      <w:proofErr w:type="gramStart"/>
      <w:r w:rsidR="000C5903">
        <w:rPr>
          <w:rFonts w:ascii="Times New Roman" w:hAnsi="Times New Roman"/>
          <w:sz w:val="24"/>
        </w:rPr>
        <w:t xml:space="preserve">Leitbild sollte daher </w:t>
      </w:r>
      <w:r>
        <w:rPr>
          <w:rFonts w:ascii="Times New Roman" w:hAnsi="Times New Roman"/>
          <w:sz w:val="24"/>
        </w:rPr>
        <w:t>ein reformierte</w:t>
      </w:r>
      <w:r w:rsidR="00AE7196">
        <w:rPr>
          <w:rFonts w:ascii="Times New Roman" w:hAnsi="Times New Roman"/>
          <w:sz w:val="24"/>
        </w:rPr>
        <w:t>s</w:t>
      </w:r>
      <w:r>
        <w:rPr>
          <w:rFonts w:ascii="Times New Roman" w:hAnsi="Times New Roman"/>
          <w:sz w:val="24"/>
        </w:rPr>
        <w:t xml:space="preserve">, </w:t>
      </w:r>
      <w:r w:rsidR="00054284">
        <w:rPr>
          <w:rFonts w:ascii="Times New Roman" w:hAnsi="Times New Roman"/>
          <w:sz w:val="24"/>
        </w:rPr>
        <w:t xml:space="preserve">integriertes und </w:t>
      </w:r>
      <w:r>
        <w:rPr>
          <w:rFonts w:ascii="Times New Roman" w:hAnsi="Times New Roman"/>
          <w:sz w:val="24"/>
        </w:rPr>
        <w:t>ganzheitliche</w:t>
      </w:r>
      <w:r w:rsidR="00AE7196">
        <w:rPr>
          <w:rFonts w:ascii="Times New Roman" w:hAnsi="Times New Roman"/>
          <w:sz w:val="24"/>
        </w:rPr>
        <w:t>s</w:t>
      </w:r>
      <w:r>
        <w:rPr>
          <w:rFonts w:ascii="Times New Roman" w:hAnsi="Times New Roman"/>
          <w:sz w:val="24"/>
        </w:rPr>
        <w:t xml:space="preserve"> EU-weite</w:t>
      </w:r>
      <w:r w:rsidR="00AE7196">
        <w:rPr>
          <w:rFonts w:ascii="Times New Roman" w:hAnsi="Times New Roman"/>
          <w:sz w:val="24"/>
        </w:rPr>
        <w:t>s</w:t>
      </w:r>
      <w:r>
        <w:rPr>
          <w:rFonts w:ascii="Times New Roman" w:hAnsi="Times New Roman"/>
          <w:sz w:val="24"/>
        </w:rPr>
        <w:t xml:space="preserve"> System zur Beilegung von Konflikten </w:t>
      </w:r>
      <w:r w:rsidR="000C5903">
        <w:rPr>
          <w:rFonts w:ascii="Times New Roman" w:hAnsi="Times New Roman"/>
          <w:sz w:val="24"/>
        </w:rPr>
        <w:t>sein</w:t>
      </w:r>
      <w:r>
        <w:rPr>
          <w:rFonts w:ascii="Times New Roman" w:hAnsi="Times New Roman"/>
          <w:sz w:val="24"/>
        </w:rPr>
        <w:t>.</w:t>
      </w:r>
      <w:proofErr w:type="gramEnd"/>
      <w:r>
        <w:rPr>
          <w:rFonts w:ascii="Times New Roman" w:hAnsi="Times New Roman"/>
          <w:sz w:val="24"/>
        </w:rPr>
        <w:t xml:space="preserve"> </w:t>
      </w:r>
    </w:p>
    <w:p w14:paraId="126CBF19" w14:textId="77777777" w:rsidR="009E0BA1" w:rsidRDefault="009E0BA1" w:rsidP="009E0BA1">
      <w:pPr>
        <w:spacing w:after="0" w:line="240" w:lineRule="auto"/>
        <w:jc w:val="both"/>
        <w:rPr>
          <w:rFonts w:ascii="Times New Roman" w:hAnsi="Times New Roman" w:cs="Times New Roman"/>
          <w:sz w:val="24"/>
          <w:szCs w:val="24"/>
        </w:rPr>
      </w:pPr>
    </w:p>
    <w:p w14:paraId="70EBEAD6" w14:textId="70FD80F9" w:rsidR="009E0BA1" w:rsidRPr="009E0BA1" w:rsidRDefault="009E0BA1" w:rsidP="00F04149">
      <w:pPr>
        <w:spacing w:after="0" w:line="240" w:lineRule="auto"/>
        <w:jc w:val="both"/>
        <w:rPr>
          <w:rFonts w:ascii="Times New Roman" w:hAnsi="Times New Roman" w:cs="Times New Roman"/>
          <w:sz w:val="24"/>
          <w:szCs w:val="24"/>
        </w:rPr>
      </w:pPr>
      <w:r>
        <w:rPr>
          <w:rFonts w:ascii="Times New Roman" w:hAnsi="Times New Roman"/>
          <w:b/>
          <w:sz w:val="24"/>
        </w:rPr>
        <w:t>Stichworte</w:t>
      </w:r>
      <w:r>
        <w:rPr>
          <w:rFonts w:ascii="Times New Roman" w:hAnsi="Times New Roman"/>
          <w:sz w:val="24"/>
        </w:rPr>
        <w:t xml:space="preserve"> Verbraucher-</w:t>
      </w:r>
      <w:r w:rsidR="000C5903">
        <w:rPr>
          <w:rFonts w:ascii="Times New Roman" w:hAnsi="Times New Roman"/>
          <w:sz w:val="24"/>
        </w:rPr>
        <w:t>Streitbeilegung</w:t>
      </w:r>
      <w:r>
        <w:rPr>
          <w:rFonts w:ascii="Times New Roman" w:hAnsi="Times New Roman"/>
          <w:sz w:val="24"/>
        </w:rPr>
        <w:t xml:space="preserve">, </w:t>
      </w:r>
      <w:r w:rsidR="00022667">
        <w:rPr>
          <w:rFonts w:ascii="Times New Roman" w:hAnsi="Times New Roman"/>
          <w:sz w:val="24"/>
        </w:rPr>
        <w:t>Ombudsstelle</w:t>
      </w:r>
      <w:r>
        <w:rPr>
          <w:rFonts w:ascii="Times New Roman" w:hAnsi="Times New Roman"/>
          <w:sz w:val="24"/>
        </w:rPr>
        <w:t>, Regulierung, Zugang zu</w:t>
      </w:r>
      <w:r w:rsidR="00AE7196">
        <w:rPr>
          <w:rFonts w:ascii="Times New Roman" w:hAnsi="Times New Roman"/>
          <w:sz w:val="24"/>
        </w:rPr>
        <w:t>m</w:t>
      </w:r>
      <w:r>
        <w:rPr>
          <w:rFonts w:ascii="Times New Roman" w:hAnsi="Times New Roman"/>
          <w:sz w:val="24"/>
        </w:rPr>
        <w:t xml:space="preserve"> Rechts</w:t>
      </w:r>
      <w:r w:rsidR="00AE7196">
        <w:rPr>
          <w:rFonts w:ascii="Times New Roman" w:hAnsi="Times New Roman"/>
          <w:sz w:val="24"/>
        </w:rPr>
        <w:t>system</w:t>
      </w:r>
    </w:p>
    <w:p w14:paraId="259CFBE5" w14:textId="77777777" w:rsidR="009E0BA1" w:rsidRDefault="009E0BA1" w:rsidP="00F04149">
      <w:pPr>
        <w:spacing w:after="0" w:line="240" w:lineRule="auto"/>
        <w:jc w:val="both"/>
        <w:rPr>
          <w:rFonts w:ascii="Times New Roman" w:hAnsi="Times New Roman" w:cs="Times New Roman"/>
          <w:sz w:val="24"/>
          <w:szCs w:val="24"/>
        </w:rPr>
      </w:pPr>
    </w:p>
    <w:p w14:paraId="12784641" w14:textId="77777777" w:rsidR="00AE1EBF" w:rsidRDefault="00AE1EBF" w:rsidP="00BE30C6">
      <w:pPr>
        <w:spacing w:after="0" w:line="240" w:lineRule="auto"/>
        <w:jc w:val="both"/>
        <w:rPr>
          <w:rFonts w:ascii="Times New Roman" w:hAnsi="Times New Roman" w:cs="Times New Roman"/>
          <w:sz w:val="24"/>
          <w:szCs w:val="24"/>
        </w:rPr>
      </w:pPr>
    </w:p>
    <w:p w14:paraId="2B2BD8B9" w14:textId="7D06F0AE" w:rsidR="00BE30C6" w:rsidRDefault="00BE30C6" w:rsidP="00BE30C6">
      <w:pPr>
        <w:spacing w:after="0" w:line="240" w:lineRule="auto"/>
        <w:jc w:val="both"/>
        <w:rPr>
          <w:rFonts w:ascii="Times New Roman" w:hAnsi="Times New Roman" w:cs="Times New Roman"/>
          <w:sz w:val="24"/>
          <w:szCs w:val="24"/>
        </w:rPr>
      </w:pPr>
      <w:r>
        <w:rPr>
          <w:rFonts w:ascii="Times New Roman" w:hAnsi="Times New Roman"/>
          <w:sz w:val="24"/>
        </w:rPr>
        <w:t>Verbraucher-</w:t>
      </w:r>
      <w:r w:rsidR="00AE7196">
        <w:rPr>
          <w:rFonts w:ascii="Times New Roman" w:hAnsi="Times New Roman"/>
          <w:sz w:val="24"/>
        </w:rPr>
        <w:t>Streitbeilegung (Consumer-</w:t>
      </w:r>
      <w:r>
        <w:rPr>
          <w:rFonts w:ascii="Times New Roman" w:hAnsi="Times New Roman"/>
          <w:sz w:val="24"/>
        </w:rPr>
        <w:t>ADR</w:t>
      </w:r>
      <w:r w:rsidR="000456CF">
        <w:rPr>
          <w:rFonts w:ascii="Times New Roman" w:hAnsi="Times New Roman"/>
          <w:sz w:val="24"/>
        </w:rPr>
        <w:t xml:space="preserve"> </w:t>
      </w:r>
      <w:r w:rsidR="00AE7196">
        <w:rPr>
          <w:rFonts w:ascii="Times New Roman" w:hAnsi="Times New Roman"/>
          <w:sz w:val="24"/>
        </w:rPr>
        <w:t xml:space="preserve">= </w:t>
      </w:r>
      <w:r>
        <w:rPr>
          <w:rFonts w:ascii="Times New Roman" w:hAnsi="Times New Roman"/>
          <w:sz w:val="24"/>
        </w:rPr>
        <w:t>CDR) als Verfahren erfreut sich zunehmender Beliebtheit, um die Defizite beim Zugang zu</w:t>
      </w:r>
      <w:r w:rsidR="00AE7196">
        <w:rPr>
          <w:rFonts w:ascii="Times New Roman" w:hAnsi="Times New Roman"/>
          <w:sz w:val="24"/>
        </w:rPr>
        <w:t>m</w:t>
      </w:r>
      <w:r>
        <w:rPr>
          <w:rFonts w:ascii="Times New Roman" w:hAnsi="Times New Roman"/>
          <w:sz w:val="24"/>
        </w:rPr>
        <w:t xml:space="preserve"> Rechts</w:t>
      </w:r>
      <w:r w:rsidR="00AE7196">
        <w:rPr>
          <w:rFonts w:ascii="Times New Roman" w:hAnsi="Times New Roman"/>
          <w:sz w:val="24"/>
        </w:rPr>
        <w:t>system</w:t>
      </w:r>
      <w:r>
        <w:rPr>
          <w:rFonts w:ascii="Times New Roman" w:hAnsi="Times New Roman"/>
          <w:sz w:val="24"/>
        </w:rPr>
        <w:t xml:space="preserve"> zu korrigieren, die in der EU bei Streitigkeiten zwischen Verbrauchern und Unternehmen (C2B) existieren.</w:t>
      </w:r>
      <w:r>
        <w:rPr>
          <w:rStyle w:val="Funotenzeichen"/>
          <w:rFonts w:ascii="Times New Roman" w:hAnsi="Times New Roman"/>
          <w:sz w:val="24"/>
        </w:rPr>
        <w:footnoteReference w:id="2"/>
      </w:r>
      <w:r>
        <w:rPr>
          <w:rFonts w:ascii="Times New Roman" w:hAnsi="Times New Roman"/>
          <w:sz w:val="24"/>
        </w:rPr>
        <w:t xml:space="preserve"> Mit der CDR-Richtlinie macht die EU einen großen Schritt in Richtung eines </w:t>
      </w:r>
      <w:r>
        <w:rPr>
          <w:rFonts w:ascii="Times New Roman" w:hAnsi="Times New Roman"/>
          <w:sz w:val="24"/>
        </w:rPr>
        <w:lastRenderedPageBreak/>
        <w:t xml:space="preserve">paneuropäischen Rahmens </w:t>
      </w:r>
      <w:r w:rsidR="00AE7196">
        <w:rPr>
          <w:rFonts w:ascii="Times New Roman" w:hAnsi="Times New Roman"/>
          <w:sz w:val="24"/>
        </w:rPr>
        <w:t xml:space="preserve">für </w:t>
      </w:r>
      <w:r>
        <w:rPr>
          <w:rFonts w:ascii="Times New Roman" w:hAnsi="Times New Roman"/>
          <w:sz w:val="24"/>
        </w:rPr>
        <w:t>Institutionen, die C2B-Streitigkeiten schlichten können, und schafft eine entsprechende Matrix zuständiger nationaler Behörden, welche die CDR-Institute kontrollieren und sicherstellen, dass die geforderten Qualitätskriterien eingehalten werden.</w:t>
      </w:r>
      <w:r>
        <w:rPr>
          <w:rStyle w:val="Funotenzeichen"/>
          <w:rFonts w:ascii="Times New Roman" w:hAnsi="Times New Roman"/>
          <w:sz w:val="24"/>
        </w:rPr>
        <w:footnoteReference w:id="3"/>
      </w:r>
      <w:r>
        <w:rPr>
          <w:rFonts w:ascii="Times New Roman" w:hAnsi="Times New Roman"/>
          <w:sz w:val="24"/>
        </w:rPr>
        <w:t xml:space="preserve"> </w:t>
      </w:r>
      <w:proofErr w:type="gramStart"/>
      <w:r>
        <w:rPr>
          <w:rFonts w:ascii="Times New Roman" w:hAnsi="Times New Roman"/>
          <w:sz w:val="24"/>
        </w:rPr>
        <w:t>Diese</w:t>
      </w:r>
      <w:r w:rsidR="00AE7196">
        <w:rPr>
          <w:rFonts w:ascii="Times New Roman" w:hAnsi="Times New Roman"/>
          <w:sz w:val="24"/>
        </w:rPr>
        <w:t>r</w:t>
      </w:r>
      <w:r>
        <w:rPr>
          <w:rFonts w:ascii="Times New Roman" w:hAnsi="Times New Roman"/>
          <w:sz w:val="24"/>
        </w:rPr>
        <w:t xml:space="preserve"> </w:t>
      </w:r>
      <w:r w:rsidR="00AE7196">
        <w:rPr>
          <w:rFonts w:ascii="Times New Roman" w:hAnsi="Times New Roman"/>
          <w:sz w:val="24"/>
        </w:rPr>
        <w:t xml:space="preserve">Aufsatz </w:t>
      </w:r>
      <w:r>
        <w:rPr>
          <w:rFonts w:ascii="Times New Roman" w:hAnsi="Times New Roman"/>
          <w:sz w:val="24"/>
        </w:rPr>
        <w:t xml:space="preserve">weist auf einige wichtige politische </w:t>
      </w:r>
      <w:r w:rsidR="00AE7196">
        <w:rPr>
          <w:rFonts w:ascii="Times New Roman" w:hAnsi="Times New Roman"/>
          <w:sz w:val="24"/>
        </w:rPr>
        <w:t xml:space="preserve">Weichenstellungen </w:t>
      </w:r>
      <w:r>
        <w:rPr>
          <w:rFonts w:ascii="Times New Roman" w:hAnsi="Times New Roman"/>
          <w:sz w:val="24"/>
        </w:rPr>
        <w:t>hin, die die Mitgliedsstaaten eventuell übersehen, wenn sie sich lediglich auf die wortwörtliche Implementierung der Richtlinie beschränken.</w:t>
      </w:r>
      <w:proofErr w:type="gramEnd"/>
      <w:r>
        <w:rPr>
          <w:rFonts w:ascii="Times New Roman" w:hAnsi="Times New Roman"/>
          <w:sz w:val="24"/>
        </w:rPr>
        <w:t xml:space="preserve"> </w:t>
      </w:r>
    </w:p>
    <w:p w14:paraId="4C25F205" w14:textId="3C4F1748" w:rsidR="00AF4C22" w:rsidRDefault="00AF4C22"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Aus minimalistischer Sicht </w:t>
      </w:r>
      <w:r w:rsidR="00AE7196">
        <w:rPr>
          <w:rFonts w:ascii="Times New Roman" w:hAnsi="Times New Roman"/>
          <w:sz w:val="24"/>
        </w:rPr>
        <w:t xml:space="preserve">verlangt </w:t>
      </w:r>
      <w:r>
        <w:rPr>
          <w:rFonts w:ascii="Times New Roman" w:hAnsi="Times New Roman"/>
          <w:sz w:val="24"/>
        </w:rPr>
        <w:t xml:space="preserve">die Implementierung der CDR-Richtlinie von den Mitgliedsstaaten nur die Einrichtung einer rudimentären CDR-Funktion </w:t>
      </w:r>
      <w:r>
        <w:rPr>
          <w:rStyle w:val="Funotenzeichen"/>
          <w:rFonts w:ascii="Times New Roman" w:hAnsi="Times New Roman"/>
          <w:sz w:val="24"/>
        </w:rPr>
        <w:footnoteReference w:id="4"/>
      </w:r>
      <w:r>
        <w:rPr>
          <w:rFonts w:ascii="Times New Roman" w:hAnsi="Times New Roman"/>
          <w:sz w:val="24"/>
        </w:rPr>
        <w:t xml:space="preserve"> und die Definition eines Regulierungssystems für die ADR-Einheiten</w:t>
      </w:r>
      <w:r w:rsidR="00AE7196">
        <w:rPr>
          <w:rFonts w:ascii="Times New Roman" w:hAnsi="Times New Roman"/>
          <w:sz w:val="24"/>
        </w:rPr>
        <w:t>.</w:t>
      </w:r>
      <w:r>
        <w:rPr>
          <w:rFonts w:ascii="Times New Roman" w:hAnsi="Times New Roman"/>
          <w:sz w:val="24"/>
        </w:rPr>
        <w:t xml:space="preserve"> </w:t>
      </w:r>
      <w:proofErr w:type="gramStart"/>
      <w:r w:rsidR="00AE7196">
        <w:rPr>
          <w:rFonts w:ascii="Times New Roman" w:hAnsi="Times New Roman"/>
          <w:sz w:val="24"/>
        </w:rPr>
        <w:t>D</w:t>
      </w:r>
      <w:r>
        <w:rPr>
          <w:rFonts w:ascii="Times New Roman" w:hAnsi="Times New Roman"/>
          <w:sz w:val="24"/>
        </w:rPr>
        <w:t xml:space="preserve">iese </w:t>
      </w:r>
      <w:r w:rsidR="00AE7196">
        <w:rPr>
          <w:rFonts w:ascii="Times New Roman" w:hAnsi="Times New Roman"/>
          <w:sz w:val="24"/>
        </w:rPr>
        <w:t>Anforder</w:t>
      </w:r>
      <w:r>
        <w:rPr>
          <w:rFonts w:ascii="Times New Roman" w:hAnsi="Times New Roman"/>
          <w:sz w:val="24"/>
        </w:rPr>
        <w:t xml:space="preserve">ungen </w:t>
      </w:r>
      <w:r w:rsidR="00AE7196">
        <w:rPr>
          <w:rFonts w:ascii="Times New Roman" w:hAnsi="Times New Roman"/>
          <w:sz w:val="24"/>
        </w:rPr>
        <w:t xml:space="preserve">der Richtlinie </w:t>
      </w:r>
      <w:r>
        <w:rPr>
          <w:rFonts w:ascii="Times New Roman" w:hAnsi="Times New Roman"/>
          <w:sz w:val="24"/>
        </w:rPr>
        <w:t>werden von den meisten bereits vorhandenen Institutionen schon erfüllt.</w:t>
      </w:r>
      <w:proofErr w:type="gramEnd"/>
      <w:r>
        <w:rPr>
          <w:rFonts w:ascii="Times New Roman" w:hAnsi="Times New Roman"/>
          <w:sz w:val="24"/>
        </w:rPr>
        <w:t xml:space="preserve"> In der Realität dürften diese </w:t>
      </w:r>
      <w:r w:rsidR="00430F70">
        <w:rPr>
          <w:rFonts w:ascii="Times New Roman" w:hAnsi="Times New Roman"/>
          <w:sz w:val="24"/>
        </w:rPr>
        <w:t>Anforder</w:t>
      </w:r>
      <w:r>
        <w:rPr>
          <w:rFonts w:ascii="Times New Roman" w:hAnsi="Times New Roman"/>
          <w:sz w:val="24"/>
        </w:rPr>
        <w:t xml:space="preserve">ungen </w:t>
      </w:r>
      <w:r w:rsidR="00430F70">
        <w:rPr>
          <w:rFonts w:ascii="Times New Roman" w:hAnsi="Times New Roman"/>
          <w:sz w:val="24"/>
        </w:rPr>
        <w:t xml:space="preserve">der Richtlinie </w:t>
      </w:r>
      <w:r>
        <w:rPr>
          <w:rFonts w:ascii="Times New Roman" w:hAnsi="Times New Roman"/>
          <w:sz w:val="24"/>
        </w:rPr>
        <w:t>das Umfeld und die Statistik der Streitbeilegung nur marginal verändern</w:t>
      </w:r>
      <w:r w:rsidR="00430F70">
        <w:rPr>
          <w:rFonts w:ascii="Times New Roman" w:hAnsi="Times New Roman"/>
          <w:sz w:val="24"/>
        </w:rPr>
        <w:t xml:space="preserve"> und der Beitrag zur Verbesserung des Schutzes der Rechte der Verbraucher mag geringer als erwartet ausfallen</w:t>
      </w:r>
      <w:r>
        <w:rPr>
          <w:rFonts w:ascii="Times New Roman" w:hAnsi="Times New Roman"/>
          <w:sz w:val="24"/>
        </w:rPr>
        <w:t>, da sowohl die Verbraucher als auch die Unternehmen CDR-Schemata oder CDR-Verfahren möglicherweise nicht anwenden</w:t>
      </w:r>
      <w:r w:rsidR="00430F70">
        <w:rPr>
          <w:rFonts w:ascii="Times New Roman" w:hAnsi="Times New Roman"/>
          <w:sz w:val="24"/>
        </w:rPr>
        <w:t xml:space="preserve"> werden</w:t>
      </w:r>
      <w:r>
        <w:rPr>
          <w:rFonts w:ascii="Times New Roman" w:hAnsi="Times New Roman"/>
          <w:sz w:val="24"/>
        </w:rPr>
        <w:t xml:space="preserve">. </w:t>
      </w:r>
    </w:p>
    <w:p w14:paraId="66C28839" w14:textId="1E7FDA53" w:rsidR="00906472" w:rsidRDefault="004C6491"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Die Richtlinie eröffnet jedoch die Chance, eine wesentlich ehrgeizigere Version </w:t>
      </w:r>
      <w:r w:rsidR="00430F70">
        <w:rPr>
          <w:rFonts w:ascii="Times New Roman" w:hAnsi="Times New Roman"/>
          <w:sz w:val="24"/>
        </w:rPr>
        <w:t>eines Systems der</w:t>
      </w:r>
      <w:r>
        <w:rPr>
          <w:rFonts w:ascii="Times New Roman" w:hAnsi="Times New Roman"/>
          <w:sz w:val="24"/>
        </w:rPr>
        <w:t xml:space="preserve"> Streitbeilegung für Verbraucher zu implementieren, </w:t>
      </w:r>
      <w:r w:rsidR="00430F70">
        <w:rPr>
          <w:rFonts w:ascii="Times New Roman" w:hAnsi="Times New Roman"/>
          <w:sz w:val="24"/>
        </w:rPr>
        <w:t xml:space="preserve">so dass es </w:t>
      </w:r>
      <w:r>
        <w:rPr>
          <w:rFonts w:ascii="Times New Roman" w:hAnsi="Times New Roman"/>
          <w:sz w:val="24"/>
        </w:rPr>
        <w:t xml:space="preserve">Konsequenzen für die damit </w:t>
      </w:r>
      <w:r w:rsidR="00430F70">
        <w:rPr>
          <w:rFonts w:ascii="Times New Roman" w:hAnsi="Times New Roman"/>
          <w:sz w:val="24"/>
        </w:rPr>
        <w:t xml:space="preserve">einhergehende </w:t>
      </w:r>
      <w:r>
        <w:rPr>
          <w:rFonts w:ascii="Times New Roman" w:hAnsi="Times New Roman"/>
          <w:sz w:val="24"/>
        </w:rPr>
        <w:t>Reform der Marktregulierung im Allgemeinen und auch für die Reform des Umfelds der Zivilrechtsverfahren hat. Einige Mitgliedsstaaten arbeiten entsprechende Pläne aus; die anderen sollten überprüfen, ob ein</w:t>
      </w:r>
      <w:r w:rsidR="00430F70">
        <w:rPr>
          <w:rFonts w:ascii="Times New Roman" w:hAnsi="Times New Roman"/>
          <w:sz w:val="24"/>
        </w:rPr>
        <w:t xml:space="preserve"> solch</w:t>
      </w:r>
      <w:r>
        <w:rPr>
          <w:rFonts w:ascii="Times New Roman" w:hAnsi="Times New Roman"/>
          <w:sz w:val="24"/>
        </w:rPr>
        <w:t>e</w:t>
      </w:r>
      <w:r w:rsidR="00430F70">
        <w:rPr>
          <w:rFonts w:ascii="Times New Roman" w:hAnsi="Times New Roman"/>
          <w:sz w:val="24"/>
        </w:rPr>
        <w:t>r</w:t>
      </w:r>
      <w:r>
        <w:rPr>
          <w:rFonts w:ascii="Times New Roman" w:hAnsi="Times New Roman"/>
          <w:sz w:val="24"/>
        </w:rPr>
        <w:t xml:space="preserve"> umfassendere</w:t>
      </w:r>
      <w:r w:rsidR="00430F70">
        <w:rPr>
          <w:rFonts w:ascii="Times New Roman" w:hAnsi="Times New Roman"/>
          <w:sz w:val="24"/>
        </w:rPr>
        <w:t>r</w:t>
      </w:r>
      <w:r>
        <w:rPr>
          <w:rFonts w:ascii="Times New Roman" w:hAnsi="Times New Roman"/>
          <w:sz w:val="24"/>
        </w:rPr>
        <w:t xml:space="preserve"> </w:t>
      </w:r>
      <w:r w:rsidR="00430F70">
        <w:rPr>
          <w:rFonts w:ascii="Times New Roman" w:hAnsi="Times New Roman"/>
          <w:sz w:val="24"/>
        </w:rPr>
        <w:t xml:space="preserve">Ansatz </w:t>
      </w:r>
      <w:r>
        <w:rPr>
          <w:rFonts w:ascii="Times New Roman" w:hAnsi="Times New Roman"/>
          <w:sz w:val="24"/>
        </w:rPr>
        <w:t>hilfreich wäre.</w:t>
      </w:r>
    </w:p>
    <w:p w14:paraId="4FF0EDD0" w14:textId="77777777" w:rsidR="00906472" w:rsidRPr="000B221E" w:rsidRDefault="00906472" w:rsidP="00921D92">
      <w:pPr>
        <w:spacing w:after="0" w:line="240" w:lineRule="auto"/>
        <w:ind w:firstLine="360"/>
        <w:jc w:val="both"/>
        <w:rPr>
          <w:rFonts w:ascii="Times New Roman" w:hAnsi="Times New Roman" w:cs="Times New Roman"/>
          <w:sz w:val="24"/>
          <w:szCs w:val="24"/>
        </w:rPr>
      </w:pPr>
      <w:r>
        <w:rPr>
          <w:rFonts w:ascii="Times New Roman" w:hAnsi="Times New Roman"/>
          <w:sz w:val="24"/>
        </w:rPr>
        <w:t>Die Grundfragen lauten:</w:t>
      </w:r>
    </w:p>
    <w:p w14:paraId="68E02F1C" w14:textId="2E05CE0C" w:rsidR="002E1D39" w:rsidRDefault="002E1D39" w:rsidP="000B221E">
      <w:pPr>
        <w:pStyle w:val="Listenabsatz"/>
        <w:numPr>
          <w:ilvl w:val="0"/>
          <w:numId w:val="1"/>
        </w:numPr>
        <w:spacing w:after="0" w:line="240" w:lineRule="auto"/>
        <w:jc w:val="both"/>
        <w:rPr>
          <w:rFonts w:ascii="Times New Roman" w:hAnsi="Times New Roman" w:cs="Times New Roman"/>
          <w:sz w:val="24"/>
          <w:szCs w:val="24"/>
        </w:rPr>
      </w:pPr>
      <w:r>
        <w:rPr>
          <w:rFonts w:ascii="Times New Roman" w:hAnsi="Times New Roman"/>
          <w:sz w:val="24"/>
        </w:rPr>
        <w:t xml:space="preserve">Welches </w:t>
      </w:r>
      <w:r>
        <w:rPr>
          <w:rFonts w:ascii="Times New Roman" w:hAnsi="Times New Roman"/>
          <w:i/>
          <w:sz w:val="24"/>
        </w:rPr>
        <w:t>Verfahren</w:t>
      </w:r>
      <w:r>
        <w:rPr>
          <w:rFonts w:ascii="Times New Roman" w:hAnsi="Times New Roman"/>
          <w:sz w:val="24"/>
        </w:rPr>
        <w:t xml:space="preserve"> </w:t>
      </w:r>
      <w:proofErr w:type="gramStart"/>
      <w:r>
        <w:rPr>
          <w:rFonts w:ascii="Times New Roman" w:hAnsi="Times New Roman"/>
          <w:sz w:val="24"/>
        </w:rPr>
        <w:t>oder</w:t>
      </w:r>
      <w:proofErr w:type="gramEnd"/>
      <w:r>
        <w:rPr>
          <w:rFonts w:ascii="Times New Roman" w:hAnsi="Times New Roman"/>
          <w:i/>
          <w:sz w:val="24"/>
        </w:rPr>
        <w:t xml:space="preserve"> welche Verfahren</w:t>
      </w:r>
      <w:r>
        <w:rPr>
          <w:rFonts w:ascii="Times New Roman" w:hAnsi="Times New Roman"/>
          <w:sz w:val="24"/>
        </w:rPr>
        <w:t xml:space="preserve"> zur Streitbeilegung sind für CDRs oder für andere Meinungsverschiedenheiten am besten geeignet? Beispiel: Ist ein Schiedsverfahren immer noch sinnvoll? Oder </w:t>
      </w:r>
      <w:proofErr w:type="gramStart"/>
      <w:r>
        <w:rPr>
          <w:rFonts w:ascii="Times New Roman" w:hAnsi="Times New Roman"/>
          <w:sz w:val="24"/>
        </w:rPr>
        <w:t>ist</w:t>
      </w:r>
      <w:proofErr w:type="gramEnd"/>
      <w:r>
        <w:rPr>
          <w:rFonts w:ascii="Times New Roman" w:hAnsi="Times New Roman"/>
          <w:sz w:val="24"/>
        </w:rPr>
        <w:t xml:space="preserve"> das Ombuds</w:t>
      </w:r>
      <w:r w:rsidR="001F60EC">
        <w:rPr>
          <w:rFonts w:ascii="Times New Roman" w:hAnsi="Times New Roman"/>
          <w:sz w:val="24"/>
        </w:rPr>
        <w:t>stellen</w:t>
      </w:r>
      <w:r>
        <w:rPr>
          <w:rFonts w:ascii="Times New Roman" w:hAnsi="Times New Roman"/>
          <w:sz w:val="24"/>
        </w:rPr>
        <w:t xml:space="preserve">-Modell besser? Falls </w:t>
      </w:r>
      <w:proofErr w:type="gramStart"/>
      <w:r>
        <w:rPr>
          <w:rFonts w:ascii="Times New Roman" w:hAnsi="Times New Roman"/>
          <w:sz w:val="24"/>
        </w:rPr>
        <w:t>ja</w:t>
      </w:r>
      <w:proofErr w:type="gramEnd"/>
      <w:r>
        <w:rPr>
          <w:rFonts w:ascii="Times New Roman" w:hAnsi="Times New Roman"/>
          <w:sz w:val="24"/>
        </w:rPr>
        <w:t>, welche Art des Ombuds-Modells ist besser?</w:t>
      </w:r>
    </w:p>
    <w:p w14:paraId="7B7C2A3F" w14:textId="2FBE5BE8" w:rsidR="003344BC" w:rsidRDefault="003344BC" w:rsidP="003344BC">
      <w:pPr>
        <w:pStyle w:val="Listenabsatz"/>
        <w:numPr>
          <w:ilvl w:val="0"/>
          <w:numId w:val="1"/>
        </w:numPr>
        <w:spacing w:after="0" w:line="240" w:lineRule="auto"/>
        <w:jc w:val="both"/>
        <w:rPr>
          <w:rFonts w:ascii="Times New Roman" w:hAnsi="Times New Roman" w:cs="Times New Roman"/>
          <w:sz w:val="24"/>
          <w:szCs w:val="24"/>
        </w:rPr>
      </w:pPr>
      <w:r>
        <w:rPr>
          <w:rFonts w:ascii="Times New Roman" w:hAnsi="Times New Roman"/>
          <w:sz w:val="24"/>
        </w:rPr>
        <w:t xml:space="preserve">Was </w:t>
      </w:r>
      <w:proofErr w:type="gramStart"/>
      <w:r>
        <w:rPr>
          <w:rFonts w:ascii="Times New Roman" w:hAnsi="Times New Roman"/>
          <w:sz w:val="24"/>
        </w:rPr>
        <w:t>sind</w:t>
      </w:r>
      <w:proofErr w:type="gramEnd"/>
      <w:r>
        <w:rPr>
          <w:rFonts w:ascii="Times New Roman" w:hAnsi="Times New Roman"/>
          <w:sz w:val="24"/>
        </w:rPr>
        <w:t xml:space="preserve"> die langfristigen Ziele für ein System </w:t>
      </w:r>
      <w:r w:rsidR="001F60EC">
        <w:rPr>
          <w:rFonts w:ascii="Times New Roman" w:hAnsi="Times New Roman"/>
          <w:sz w:val="24"/>
        </w:rPr>
        <w:t xml:space="preserve">der </w:t>
      </w:r>
      <w:r>
        <w:rPr>
          <w:rFonts w:ascii="Times New Roman" w:hAnsi="Times New Roman"/>
          <w:sz w:val="24"/>
        </w:rPr>
        <w:t>Streitbeilegung in Verbraucherangelegenheiten, für die Marktregulierung und für das Rechtssystem im Allgemeinen?</w:t>
      </w:r>
    </w:p>
    <w:p w14:paraId="656DB45C" w14:textId="77777777" w:rsidR="00906472" w:rsidRDefault="00906472" w:rsidP="003C3AE3">
      <w:pPr>
        <w:spacing w:after="0" w:line="240" w:lineRule="auto"/>
        <w:rPr>
          <w:rFonts w:ascii="Times New Roman" w:hAnsi="Times New Roman" w:cs="Times New Roman"/>
          <w:sz w:val="24"/>
          <w:szCs w:val="24"/>
        </w:rPr>
      </w:pPr>
    </w:p>
    <w:p w14:paraId="3CAD28D4" w14:textId="77777777" w:rsidR="003C3AE3" w:rsidRDefault="003C3AE3" w:rsidP="003C3AE3">
      <w:pPr>
        <w:spacing w:after="0" w:line="240" w:lineRule="auto"/>
        <w:rPr>
          <w:rFonts w:ascii="Times New Roman" w:hAnsi="Times New Roman" w:cs="Times New Roman"/>
          <w:sz w:val="24"/>
          <w:szCs w:val="24"/>
        </w:rPr>
      </w:pPr>
    </w:p>
    <w:p w14:paraId="5A042D13" w14:textId="34D899F1" w:rsidR="002E1D39" w:rsidRPr="002E1D39" w:rsidRDefault="00D9764F" w:rsidP="003B7C50">
      <w:pPr>
        <w:spacing w:after="0" w:line="240" w:lineRule="auto"/>
        <w:jc w:val="center"/>
        <w:rPr>
          <w:rFonts w:ascii="Times New Roman" w:hAnsi="Times New Roman" w:cs="Times New Roman"/>
          <w:b/>
          <w:sz w:val="24"/>
          <w:szCs w:val="24"/>
        </w:rPr>
      </w:pPr>
      <w:r>
        <w:rPr>
          <w:rFonts w:ascii="Times New Roman" w:hAnsi="Times New Roman"/>
          <w:b/>
          <w:sz w:val="24"/>
        </w:rPr>
        <w:t xml:space="preserve">Kurzfristige Ziele </w:t>
      </w:r>
      <w:r w:rsidR="00B43AD0">
        <w:rPr>
          <w:rFonts w:ascii="Times New Roman" w:hAnsi="Times New Roman"/>
          <w:b/>
          <w:sz w:val="24"/>
        </w:rPr>
        <w:t>für die Verbraucherstreitbeilegung</w:t>
      </w:r>
    </w:p>
    <w:p w14:paraId="6D42067E" w14:textId="77777777" w:rsidR="003C3AE3" w:rsidRDefault="003C3AE3" w:rsidP="000B221E">
      <w:pPr>
        <w:spacing w:after="0" w:line="240" w:lineRule="auto"/>
        <w:jc w:val="both"/>
        <w:rPr>
          <w:rFonts w:ascii="Times New Roman" w:hAnsi="Times New Roman" w:cs="Times New Roman"/>
          <w:sz w:val="24"/>
          <w:szCs w:val="24"/>
        </w:rPr>
      </w:pPr>
    </w:p>
    <w:p w14:paraId="190012C0" w14:textId="6D6C9F69" w:rsidR="007F4233" w:rsidRPr="000B221E" w:rsidRDefault="002E1D39" w:rsidP="000B221E">
      <w:pPr>
        <w:spacing w:after="0" w:line="240" w:lineRule="auto"/>
        <w:jc w:val="both"/>
        <w:rPr>
          <w:rFonts w:ascii="Times New Roman" w:hAnsi="Times New Roman" w:cs="Times New Roman"/>
          <w:sz w:val="24"/>
          <w:szCs w:val="24"/>
        </w:rPr>
      </w:pPr>
      <w:r>
        <w:rPr>
          <w:rFonts w:ascii="Times New Roman" w:hAnsi="Times New Roman"/>
          <w:sz w:val="24"/>
        </w:rPr>
        <w:t xml:space="preserve">Ein einfaches, kurzfristiges Ziel </w:t>
      </w:r>
      <w:r w:rsidR="001F60EC">
        <w:rPr>
          <w:rFonts w:ascii="Times New Roman" w:hAnsi="Times New Roman"/>
          <w:sz w:val="24"/>
        </w:rPr>
        <w:t xml:space="preserve">wäre </w:t>
      </w:r>
      <w:r>
        <w:rPr>
          <w:rFonts w:ascii="Times New Roman" w:hAnsi="Times New Roman"/>
          <w:sz w:val="24"/>
        </w:rPr>
        <w:t xml:space="preserve">die Implementierung der Richtlinie </w:t>
      </w:r>
      <w:proofErr w:type="gramStart"/>
      <w:r>
        <w:rPr>
          <w:rFonts w:ascii="Times New Roman" w:hAnsi="Times New Roman"/>
          <w:sz w:val="24"/>
        </w:rPr>
        <w:t>als</w:t>
      </w:r>
      <w:proofErr w:type="gramEnd"/>
      <w:r>
        <w:rPr>
          <w:rFonts w:ascii="Times New Roman" w:hAnsi="Times New Roman"/>
          <w:sz w:val="24"/>
        </w:rPr>
        <w:t xml:space="preserve"> Rahmen für die Streitbeilegung zwischen Verbrauchern und Händlern (C2B). </w:t>
      </w:r>
      <w:proofErr w:type="gramStart"/>
      <w:r>
        <w:rPr>
          <w:rFonts w:ascii="Times New Roman" w:hAnsi="Times New Roman"/>
          <w:sz w:val="24"/>
        </w:rPr>
        <w:t xml:space="preserve">Dieser Ansatz dürfte </w:t>
      </w:r>
      <w:r w:rsidR="00B43AD0">
        <w:rPr>
          <w:rFonts w:ascii="Times New Roman" w:hAnsi="Times New Roman"/>
          <w:sz w:val="24"/>
        </w:rPr>
        <w:t xml:space="preserve">allerdings </w:t>
      </w:r>
      <w:r>
        <w:rPr>
          <w:rFonts w:ascii="Times New Roman" w:hAnsi="Times New Roman"/>
          <w:sz w:val="24"/>
        </w:rPr>
        <w:t>keine besondere Ermutigung sein, ein CDR-System zu verwenden.</w:t>
      </w:r>
      <w:proofErr w:type="gramEnd"/>
      <w:r>
        <w:rPr>
          <w:rFonts w:ascii="Times New Roman" w:hAnsi="Times New Roman"/>
          <w:sz w:val="24"/>
        </w:rPr>
        <w:t xml:space="preserve"> Einerseits stünde es den Händlern frei, sich zu</w:t>
      </w:r>
      <w:r w:rsidR="001F60EC">
        <w:rPr>
          <w:rFonts w:ascii="Times New Roman" w:hAnsi="Times New Roman"/>
          <w:sz w:val="24"/>
        </w:rPr>
        <w:t>r Teilnahme an</w:t>
      </w:r>
      <w:r>
        <w:rPr>
          <w:rFonts w:ascii="Times New Roman" w:hAnsi="Times New Roman"/>
          <w:sz w:val="24"/>
        </w:rPr>
        <w:t xml:space="preserve"> einem CDR-System zu verpflichten. Die Richtlinie </w:t>
      </w:r>
      <w:r>
        <w:rPr>
          <w:rFonts w:ascii="Times New Roman" w:hAnsi="Times New Roman"/>
          <w:i/>
          <w:sz w:val="24"/>
        </w:rPr>
        <w:t>verlangt</w:t>
      </w:r>
      <w:r>
        <w:rPr>
          <w:rFonts w:ascii="Times New Roman" w:hAnsi="Times New Roman"/>
          <w:sz w:val="24"/>
        </w:rPr>
        <w:t xml:space="preserve"> von den Händlern keinen Beitritt zu einem und keine Unterordnung unter ein ADR-/CDR-/ODR-System. Wenn ein Händler</w:t>
      </w:r>
      <w:r w:rsidR="008803BC">
        <w:rPr>
          <w:rFonts w:ascii="Times New Roman" w:hAnsi="Times New Roman"/>
          <w:sz w:val="24"/>
        </w:rPr>
        <w:t xml:space="preserve"> </w:t>
      </w:r>
      <w:r>
        <w:rPr>
          <w:rFonts w:ascii="Times New Roman" w:hAnsi="Times New Roman"/>
          <w:sz w:val="24"/>
        </w:rPr>
        <w:t xml:space="preserve">einem CDR-System beigetreten </w:t>
      </w:r>
      <w:proofErr w:type="gramStart"/>
      <w:r>
        <w:rPr>
          <w:rFonts w:ascii="Times New Roman" w:hAnsi="Times New Roman"/>
          <w:i/>
          <w:sz w:val="24"/>
        </w:rPr>
        <w:t>ist</w:t>
      </w:r>
      <w:proofErr w:type="gramEnd"/>
      <w:r>
        <w:rPr>
          <w:rFonts w:ascii="Times New Roman" w:hAnsi="Times New Roman"/>
          <w:sz w:val="24"/>
        </w:rPr>
        <w:t xml:space="preserve">, muss er </w:t>
      </w:r>
      <w:r w:rsidR="00B43AD0">
        <w:rPr>
          <w:rFonts w:ascii="Times New Roman" w:hAnsi="Times New Roman"/>
          <w:sz w:val="24"/>
        </w:rPr>
        <w:t xml:space="preserve">allerdings </w:t>
      </w:r>
      <w:r>
        <w:rPr>
          <w:rFonts w:ascii="Times New Roman" w:hAnsi="Times New Roman"/>
          <w:sz w:val="24"/>
        </w:rPr>
        <w:t>Informationen liefern.</w:t>
      </w:r>
      <w:r>
        <w:rPr>
          <w:rStyle w:val="Funotenzeichen"/>
          <w:rFonts w:ascii="Times New Roman" w:hAnsi="Times New Roman"/>
          <w:sz w:val="24"/>
        </w:rPr>
        <w:footnoteReference w:id="5"/>
      </w:r>
      <w:r>
        <w:rPr>
          <w:rFonts w:ascii="Times New Roman" w:hAnsi="Times New Roman"/>
          <w:sz w:val="24"/>
        </w:rPr>
        <w:t xml:space="preserve"> Die Marktforschung hat gezeigt, dass Händler derzeit ein CDR-System nur dann nutzen, wenn das nationale Recht oder eine Behörde </w:t>
      </w:r>
      <w:r w:rsidR="001F60EC">
        <w:rPr>
          <w:rFonts w:ascii="Times New Roman" w:hAnsi="Times New Roman"/>
          <w:sz w:val="24"/>
        </w:rPr>
        <w:t xml:space="preserve">es </w:t>
      </w:r>
      <w:r>
        <w:rPr>
          <w:rFonts w:ascii="Times New Roman" w:hAnsi="Times New Roman"/>
          <w:sz w:val="24"/>
        </w:rPr>
        <w:t xml:space="preserve">verlangen oder wenn es eine freiwillige Bottom-up-Bewegung durch eine Unternehmens- oder Handelsorganisation gibt. </w:t>
      </w:r>
    </w:p>
    <w:p w14:paraId="32DC16B5" w14:textId="62282539" w:rsidR="002E1D39" w:rsidRPr="000B221E" w:rsidRDefault="007F4233"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Was den ersten </w:t>
      </w:r>
      <w:r w:rsidR="001F60EC">
        <w:rPr>
          <w:rFonts w:ascii="Times New Roman" w:hAnsi="Times New Roman"/>
          <w:sz w:val="24"/>
        </w:rPr>
        <w:t xml:space="preserve">Grund </w:t>
      </w:r>
      <w:r w:rsidR="00B43AD0">
        <w:rPr>
          <w:rFonts w:ascii="Times New Roman" w:hAnsi="Times New Roman"/>
          <w:sz w:val="24"/>
        </w:rPr>
        <w:t xml:space="preserve">dazu </w:t>
      </w:r>
      <w:r>
        <w:rPr>
          <w:rFonts w:ascii="Times New Roman" w:hAnsi="Times New Roman"/>
          <w:sz w:val="24"/>
        </w:rPr>
        <w:t>an</w:t>
      </w:r>
      <w:r w:rsidR="001F60EC">
        <w:rPr>
          <w:rFonts w:ascii="Times New Roman" w:hAnsi="Times New Roman"/>
          <w:sz w:val="24"/>
        </w:rPr>
        <w:t>geht</w:t>
      </w:r>
      <w:r>
        <w:rPr>
          <w:rFonts w:ascii="Times New Roman" w:hAnsi="Times New Roman"/>
          <w:sz w:val="24"/>
        </w:rPr>
        <w:t xml:space="preserve">, so haben </w:t>
      </w:r>
      <w:r w:rsidR="00B43AD0">
        <w:rPr>
          <w:rFonts w:ascii="Times New Roman" w:hAnsi="Times New Roman"/>
          <w:sz w:val="24"/>
        </w:rPr>
        <w:t xml:space="preserve">die </w:t>
      </w:r>
      <w:r>
        <w:rPr>
          <w:rFonts w:ascii="Times New Roman" w:hAnsi="Times New Roman"/>
          <w:sz w:val="24"/>
        </w:rPr>
        <w:t xml:space="preserve">Regierungen in einigen Ländern Gesetze verabschiedet, welche die Einführung vorschreiben, beispielsweise für die Finanzdienstleistungsbranche (insbesondere in Großbritannien, wo ADR-Verfahren für </w:t>
      </w:r>
      <w:r>
        <w:rPr>
          <w:rFonts w:ascii="Times New Roman" w:hAnsi="Times New Roman"/>
          <w:sz w:val="24"/>
        </w:rPr>
        <w:lastRenderedPageBreak/>
        <w:t xml:space="preserve">Rechtsberater, Rentenberater, Grundstücksmakler und andere Dienstleister obligatorisch sind; dies gilt auch für den Financial-Services-Ombudsmann in Irland) bzw. </w:t>
      </w:r>
      <w:proofErr w:type="gramStart"/>
      <w:r>
        <w:rPr>
          <w:rFonts w:ascii="Times New Roman" w:hAnsi="Times New Roman"/>
          <w:sz w:val="24"/>
        </w:rPr>
        <w:t>für</w:t>
      </w:r>
      <w:proofErr w:type="gramEnd"/>
      <w:r>
        <w:rPr>
          <w:rFonts w:ascii="Times New Roman" w:hAnsi="Times New Roman"/>
          <w:sz w:val="24"/>
        </w:rPr>
        <w:t xml:space="preserve"> Fluglinien (in Deutschland seit Dezember 2013</w:t>
      </w:r>
      <w:r w:rsidR="001F60EC">
        <w:rPr>
          <w:rFonts w:ascii="Times New Roman" w:hAnsi="Times New Roman"/>
          <w:sz w:val="24"/>
        </w:rPr>
        <w:t xml:space="preserve"> verpflichtend</w:t>
      </w:r>
      <w:r>
        <w:rPr>
          <w:rStyle w:val="Funotenzeichen"/>
          <w:rFonts w:ascii="Times New Roman" w:hAnsi="Times New Roman"/>
          <w:sz w:val="24"/>
        </w:rPr>
        <w:footnoteReference w:id="6"/>
      </w:r>
      <w:r>
        <w:rPr>
          <w:rFonts w:ascii="Times New Roman" w:hAnsi="Times New Roman"/>
          <w:sz w:val="24"/>
        </w:rPr>
        <w:t>) oder für Energieversorger (</w:t>
      </w:r>
      <w:r w:rsidR="001F60EC">
        <w:rPr>
          <w:rFonts w:ascii="Times New Roman" w:hAnsi="Times New Roman"/>
          <w:sz w:val="24"/>
        </w:rPr>
        <w:t xml:space="preserve">wie </w:t>
      </w:r>
      <w:r>
        <w:rPr>
          <w:rFonts w:ascii="Times New Roman" w:hAnsi="Times New Roman"/>
          <w:sz w:val="24"/>
        </w:rPr>
        <w:t>in Frankreich).</w:t>
      </w:r>
      <w:r>
        <w:rPr>
          <w:rStyle w:val="Funotenzeichen"/>
          <w:rFonts w:ascii="Times New Roman" w:hAnsi="Times New Roman"/>
          <w:sz w:val="24"/>
        </w:rPr>
        <w:footnoteReference w:id="7"/>
      </w:r>
      <w:r>
        <w:rPr>
          <w:rFonts w:ascii="Times New Roman" w:hAnsi="Times New Roman"/>
          <w:sz w:val="24"/>
        </w:rPr>
        <w:t xml:space="preserve"> Was den letzteren </w:t>
      </w:r>
      <w:r w:rsidR="001F60EC">
        <w:rPr>
          <w:rFonts w:ascii="Times New Roman" w:hAnsi="Times New Roman"/>
          <w:sz w:val="24"/>
        </w:rPr>
        <w:t>Grund</w:t>
      </w:r>
      <w:r>
        <w:rPr>
          <w:rFonts w:ascii="Times New Roman" w:hAnsi="Times New Roman"/>
          <w:sz w:val="24"/>
        </w:rPr>
        <w:t xml:space="preserve">, den freiwilligen Ansatz, </w:t>
      </w:r>
      <w:proofErr w:type="gramStart"/>
      <w:r>
        <w:rPr>
          <w:rFonts w:ascii="Times New Roman" w:hAnsi="Times New Roman"/>
          <w:sz w:val="24"/>
        </w:rPr>
        <w:t>an</w:t>
      </w:r>
      <w:r w:rsidR="001F60EC">
        <w:rPr>
          <w:rFonts w:ascii="Times New Roman" w:hAnsi="Times New Roman"/>
          <w:sz w:val="24"/>
        </w:rPr>
        <w:t>geht</w:t>
      </w:r>
      <w:proofErr w:type="gramEnd"/>
      <w:r>
        <w:rPr>
          <w:rFonts w:ascii="Times New Roman" w:hAnsi="Times New Roman"/>
          <w:sz w:val="24"/>
        </w:rPr>
        <w:t xml:space="preserve">, so gibt es dafür viele Beispiele in vielen Mitgliedsstaaten. Diese freiwilligen Vereinbarungen kamen zustande, </w:t>
      </w:r>
      <w:proofErr w:type="gramStart"/>
      <w:r>
        <w:rPr>
          <w:rFonts w:ascii="Times New Roman" w:hAnsi="Times New Roman"/>
          <w:sz w:val="24"/>
        </w:rPr>
        <w:t>weil</w:t>
      </w:r>
      <w:proofErr w:type="gramEnd"/>
      <w:r>
        <w:rPr>
          <w:rFonts w:ascii="Times New Roman" w:hAnsi="Times New Roman"/>
          <w:sz w:val="24"/>
        </w:rPr>
        <w:t xml:space="preserve"> Branchen erkannten, dass die Einführung eines CDR-Systems ihnen einen kommerziellen Vorteil verschafft (in der Regel durch Imagepflege und als Mittel, um </w:t>
      </w:r>
      <w:r w:rsidR="00BF28FF">
        <w:rPr>
          <w:rFonts w:ascii="Times New Roman" w:hAnsi="Times New Roman"/>
          <w:sz w:val="24"/>
        </w:rPr>
        <w:t xml:space="preserve">für andere </w:t>
      </w:r>
      <w:r>
        <w:rPr>
          <w:rFonts w:ascii="Times New Roman" w:hAnsi="Times New Roman"/>
          <w:sz w:val="24"/>
        </w:rPr>
        <w:t>eine Markteinstiegsbarriere zu errichten).</w:t>
      </w:r>
    </w:p>
    <w:p w14:paraId="405FF81E" w14:textId="738034E2" w:rsidR="00AD2EBB" w:rsidRDefault="007F4233"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Den Verbrauchern hingegen steht es allgemein frei, ein CDR-System zu verwenden. Sie können stattdessen auch </w:t>
      </w:r>
      <w:r w:rsidR="00BF28FF">
        <w:rPr>
          <w:rFonts w:ascii="Times New Roman" w:hAnsi="Times New Roman"/>
          <w:sz w:val="24"/>
        </w:rPr>
        <w:t xml:space="preserve">direkt </w:t>
      </w:r>
      <w:r>
        <w:rPr>
          <w:rFonts w:ascii="Times New Roman" w:hAnsi="Times New Roman"/>
          <w:sz w:val="24"/>
        </w:rPr>
        <w:t xml:space="preserve">ein Gericht anrufen </w:t>
      </w:r>
      <w:proofErr w:type="gramStart"/>
      <w:r>
        <w:rPr>
          <w:rFonts w:ascii="Times New Roman" w:hAnsi="Times New Roman"/>
          <w:sz w:val="24"/>
        </w:rPr>
        <w:t>oder</w:t>
      </w:r>
      <w:proofErr w:type="gramEnd"/>
      <w:r>
        <w:rPr>
          <w:rFonts w:ascii="Times New Roman" w:hAnsi="Times New Roman"/>
          <w:sz w:val="24"/>
        </w:rPr>
        <w:t xml:space="preserve"> – nur zu oft – einfach keine weiteren Schritte ergreifen. Die Frage, ob CDR-Systeme für eine </w:t>
      </w:r>
      <w:proofErr w:type="gramStart"/>
      <w:r>
        <w:rPr>
          <w:rFonts w:ascii="Times New Roman" w:hAnsi="Times New Roman"/>
          <w:sz w:val="24"/>
        </w:rPr>
        <w:t>oder</w:t>
      </w:r>
      <w:proofErr w:type="gramEnd"/>
      <w:r>
        <w:rPr>
          <w:rFonts w:ascii="Times New Roman" w:hAnsi="Times New Roman"/>
          <w:sz w:val="24"/>
        </w:rPr>
        <w:t xml:space="preserve"> für beide Parteien bindend sein sollten, lässt sich unterschiedlich beantworten, je nach Art des Systems. Sowohl Verbraucher </w:t>
      </w:r>
      <w:proofErr w:type="gramStart"/>
      <w:r>
        <w:rPr>
          <w:rFonts w:ascii="Times New Roman" w:hAnsi="Times New Roman"/>
          <w:sz w:val="24"/>
        </w:rPr>
        <w:t>als</w:t>
      </w:r>
      <w:proofErr w:type="gramEnd"/>
      <w:r>
        <w:rPr>
          <w:rFonts w:ascii="Times New Roman" w:hAnsi="Times New Roman"/>
          <w:sz w:val="24"/>
        </w:rPr>
        <w:t xml:space="preserve"> auch Händler könnten den CDR-Vereinbarungen zunächst misstrauisch gegenüberstehen und einen Prozess bevorzugen, der die Gegenpartei verpflichten soll, aber für sie selbst nicht verbindlich ist. Sobald </w:t>
      </w:r>
      <w:proofErr w:type="gramStart"/>
      <w:r w:rsidR="00B43AD0">
        <w:rPr>
          <w:rFonts w:ascii="Times New Roman" w:hAnsi="Times New Roman"/>
          <w:sz w:val="24"/>
        </w:rPr>
        <w:t xml:space="preserve">die </w:t>
      </w:r>
      <w:r>
        <w:rPr>
          <w:rFonts w:ascii="Times New Roman" w:hAnsi="Times New Roman"/>
          <w:sz w:val="24"/>
        </w:rPr>
        <w:t>Parteien jedoch die</w:t>
      </w:r>
      <w:proofErr w:type="gramEnd"/>
      <w:r>
        <w:rPr>
          <w:rFonts w:ascii="Times New Roman" w:hAnsi="Times New Roman"/>
          <w:sz w:val="24"/>
        </w:rPr>
        <w:t xml:space="preserve"> Varianten der CDR-Programme in Europa genauer kennen, vertrauen sie dem Verfahren im Allgemeinen stark.</w:t>
      </w:r>
    </w:p>
    <w:p w14:paraId="3CBE72FC" w14:textId="77777777" w:rsidR="009E400F" w:rsidRDefault="00AD2EBB"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Händler, die mit CDR-Systemen keine Erfahrung haben, fürchten in der Regel, dass die Verbraucher dieses Ergebnis einfach ablehnen und stattdessen vor Gericht klagen, weil sie nicht verpflichtet sind, das Ergebnis einer Entscheidung in einem CDR-Prozess zu akzeptieren. Das Gegenargument lautet, dass die Verbraucher statt des Gerichtsweges vorzugsweise CDR-Systeme nutzen sollten und man eine Gesamtbilanz erstellen muss. </w:t>
      </w:r>
    </w:p>
    <w:p w14:paraId="714E1073" w14:textId="257F2E3C" w:rsidR="00BE30C6" w:rsidRDefault="00BE30C6"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Mit diesem Problem zusammen hängt die Frage, ob Verbraucher für die Nutzung des CDR-Systems bezahlen sollten. Jede Beilegung von Streitigkeiten verursacht schließlich Kosten</w:t>
      </w:r>
      <w:r w:rsidR="00B43AD0">
        <w:rPr>
          <w:rFonts w:ascii="Times New Roman" w:hAnsi="Times New Roman"/>
          <w:sz w:val="24"/>
        </w:rPr>
        <w:t>,</w:t>
      </w:r>
      <w:r>
        <w:rPr>
          <w:rFonts w:ascii="Times New Roman" w:hAnsi="Times New Roman"/>
          <w:sz w:val="24"/>
        </w:rPr>
        <w:t xml:space="preserve"> und die Kläger müssen für die Anrufung der Gerichte </w:t>
      </w:r>
      <w:r w:rsidR="00B43AD0">
        <w:rPr>
          <w:rFonts w:ascii="Times New Roman" w:hAnsi="Times New Roman"/>
          <w:sz w:val="24"/>
        </w:rPr>
        <w:t>in Vorlage treten</w:t>
      </w:r>
      <w:r>
        <w:rPr>
          <w:rFonts w:ascii="Times New Roman" w:hAnsi="Times New Roman"/>
          <w:sz w:val="24"/>
        </w:rPr>
        <w:t xml:space="preserve">, selbst wenn diese Erstinvestition sich später bezahlt macht, </w:t>
      </w:r>
      <w:proofErr w:type="gramStart"/>
      <w:r>
        <w:rPr>
          <w:rFonts w:ascii="Times New Roman" w:hAnsi="Times New Roman"/>
          <w:sz w:val="24"/>
        </w:rPr>
        <w:t>weil</w:t>
      </w:r>
      <w:proofErr w:type="gramEnd"/>
      <w:r>
        <w:rPr>
          <w:rFonts w:ascii="Times New Roman" w:hAnsi="Times New Roman"/>
          <w:sz w:val="24"/>
        </w:rPr>
        <w:t xml:space="preserve"> die unterliegende Partei alle Kosten trägt. Viele Branchen </w:t>
      </w:r>
      <w:proofErr w:type="gramStart"/>
      <w:r>
        <w:rPr>
          <w:rFonts w:ascii="Times New Roman" w:hAnsi="Times New Roman"/>
          <w:sz w:val="24"/>
        </w:rPr>
        <w:t>sind</w:t>
      </w:r>
      <w:proofErr w:type="gramEnd"/>
      <w:r>
        <w:rPr>
          <w:rFonts w:ascii="Times New Roman" w:hAnsi="Times New Roman"/>
          <w:sz w:val="24"/>
        </w:rPr>
        <w:t xml:space="preserve"> der Meinung, dass eine Gebühr für die Nutzung eines ADR-Systems leichtfertige und schikanöse Forderungen verhindert.</w:t>
      </w:r>
      <w:r>
        <w:rPr>
          <w:rStyle w:val="Funotenzeichen"/>
          <w:rFonts w:ascii="Times New Roman" w:hAnsi="Times New Roman"/>
          <w:sz w:val="24"/>
        </w:rPr>
        <w:footnoteReference w:id="8"/>
      </w:r>
      <w:r>
        <w:rPr>
          <w:rFonts w:ascii="Times New Roman" w:hAnsi="Times New Roman"/>
          <w:sz w:val="24"/>
        </w:rPr>
        <w:t xml:space="preserve"> Es gibt jedoch nur sehr wenige Belege aus vorhandenen CDR-Systemen für leichtfertige </w:t>
      </w:r>
      <w:proofErr w:type="gramStart"/>
      <w:r>
        <w:rPr>
          <w:rFonts w:ascii="Times New Roman" w:hAnsi="Times New Roman"/>
          <w:sz w:val="24"/>
        </w:rPr>
        <w:t>oder</w:t>
      </w:r>
      <w:proofErr w:type="gramEnd"/>
      <w:r>
        <w:rPr>
          <w:rFonts w:ascii="Times New Roman" w:hAnsi="Times New Roman"/>
          <w:sz w:val="24"/>
        </w:rPr>
        <w:t xml:space="preserve"> schikanöse Anspruchsteller. Ombudsmann- und ADR-Systeme, die von manchen Branchen betrieben werden, zeigen dagegen immer wieder, dass dieses Phänomen nicht existiert. </w:t>
      </w:r>
      <w:r>
        <w:rPr>
          <w:rStyle w:val="Funotenzeichen"/>
          <w:rFonts w:ascii="Times New Roman" w:hAnsi="Times New Roman"/>
          <w:sz w:val="24"/>
        </w:rPr>
        <w:footnoteReference w:id="9"/>
      </w:r>
      <w:r>
        <w:rPr>
          <w:rFonts w:ascii="Times New Roman" w:hAnsi="Times New Roman"/>
          <w:sz w:val="24"/>
        </w:rPr>
        <w:t xml:space="preserve"> Die Furcht vor einer Flut ungerechtfertigter Ansprüche wurde mitunter verwechselt mit einem anderen Thema: den überzogenen Erwartungen </w:t>
      </w:r>
      <w:proofErr w:type="gramStart"/>
      <w:r>
        <w:rPr>
          <w:rFonts w:ascii="Times New Roman" w:hAnsi="Times New Roman"/>
          <w:sz w:val="24"/>
        </w:rPr>
        <w:t>an</w:t>
      </w:r>
      <w:proofErr w:type="gramEnd"/>
      <w:r>
        <w:rPr>
          <w:rFonts w:ascii="Times New Roman" w:hAnsi="Times New Roman"/>
          <w:sz w:val="24"/>
        </w:rPr>
        <w:t xml:space="preserve"> fairen Schadensersatz von Seiten der verärgerten Verbraucher, die einen berechtigten Anspruch haben. Durch das CDR-System der Reisebüros in Großbritannien ergab sich beispielsweise, dass die Berechnung einer Gebühr für die Anspruchsteller diese veranlasst, rational zu überlegen, was sie berechtigterweise für ein schlechtes Hotel oder einen miesen Urlaub als Schadensersatz verlangen können. Viele CDR-Systeme, die keine Vorab-Gebühren verlangen, berichten jedoch, dass es nicht schwer fällt, die Erwartungen der verärgerten Anspruchsteller auf ein rationales Maß zu reduzieren. Der Schlüssel liegt darin, dass die CDR-Institution objektiv und unabhängig ist und Erwartungen höflich, aber bestimmt korrigiert – so wie auch jeder Anwalt einer Klagepartei vorgehen sollte. Untersuchungen zu den Erwartungen von Fluggästen 2014 zeigten, dass diese </w:t>
      </w:r>
      <w:r>
        <w:rPr>
          <w:rFonts w:ascii="Times New Roman" w:hAnsi="Times New Roman"/>
          <w:sz w:val="24"/>
        </w:rPr>
        <w:lastRenderedPageBreak/>
        <w:t>Fluggäste in der Regel nicht bereit sind, für Beschwerden wegen schlechten Services auch noch zu bezahlen.</w:t>
      </w:r>
      <w:r>
        <w:rPr>
          <w:rStyle w:val="Funotenzeichen"/>
          <w:rFonts w:ascii="Times New Roman" w:hAnsi="Times New Roman"/>
          <w:sz w:val="24"/>
        </w:rPr>
        <w:footnoteReference w:id="10"/>
      </w:r>
    </w:p>
    <w:p w14:paraId="5ADA02FD" w14:textId="49A29994" w:rsidR="00AD2EBB" w:rsidRDefault="00AD2EBB"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Allgemein wird davon ausgegangen, dass keine Partei an eine Entscheidung gebunden sein sollte, sofern es sich nicht um einen Beschluss eines ordnungsgemäß zuständigen Gerichts handelt oder die Einzelperson das Ergebnis freiwillig im Voraus akzeptiert hat (durch Abschluss eines Vertrages im Rahmen eines Schiedsverfahrens, der nicht sittenwidrig ist) oder nach der Entscheidung (wie bei allen Vergleichen). Der Artikel 6 </w:t>
      </w:r>
      <w:r w:rsidR="00B43AD0">
        <w:rPr>
          <w:rFonts w:ascii="Times New Roman" w:hAnsi="Times New Roman"/>
          <w:sz w:val="24"/>
        </w:rPr>
        <w:t xml:space="preserve">der Europäischen Menschenrechtskonvention </w:t>
      </w:r>
      <w:r>
        <w:rPr>
          <w:rFonts w:ascii="Times New Roman" w:hAnsi="Times New Roman"/>
          <w:sz w:val="24"/>
        </w:rPr>
        <w:t xml:space="preserve">bekräftigt das fundamentale Recht der EU-Bürger, die Gerichte anzurufen, sodass Streitigkeiten abschließend durch ein Gericht entschieden werden. Dies schließt jedoch nicht die Möglichkeit aus, </w:t>
      </w:r>
      <w:r w:rsidR="00B43AD0">
        <w:rPr>
          <w:rFonts w:ascii="Times New Roman" w:hAnsi="Times New Roman"/>
          <w:sz w:val="24"/>
        </w:rPr>
        <w:t xml:space="preserve">über </w:t>
      </w:r>
      <w:r>
        <w:rPr>
          <w:rFonts w:ascii="Times New Roman" w:hAnsi="Times New Roman"/>
          <w:sz w:val="24"/>
        </w:rPr>
        <w:t xml:space="preserve">dieses Recht einen Vertrag </w:t>
      </w:r>
      <w:r w:rsidR="00B43AD0">
        <w:rPr>
          <w:rFonts w:ascii="Times New Roman" w:hAnsi="Times New Roman"/>
          <w:sz w:val="24"/>
        </w:rPr>
        <w:t>abzuschließen</w:t>
      </w:r>
      <w:r>
        <w:rPr>
          <w:rFonts w:ascii="Times New Roman" w:hAnsi="Times New Roman"/>
          <w:sz w:val="24"/>
        </w:rPr>
        <w:t xml:space="preserve">, der nicht sittenwidrig </w:t>
      </w:r>
      <w:proofErr w:type="gramStart"/>
      <w:r>
        <w:rPr>
          <w:rFonts w:ascii="Times New Roman" w:hAnsi="Times New Roman"/>
          <w:sz w:val="24"/>
        </w:rPr>
        <w:t>ist</w:t>
      </w:r>
      <w:proofErr w:type="gramEnd"/>
      <w:r>
        <w:rPr>
          <w:rFonts w:ascii="Times New Roman" w:hAnsi="Times New Roman"/>
          <w:sz w:val="24"/>
        </w:rPr>
        <w:t xml:space="preserve">. In der Praxis sollte in Fällen, </w:t>
      </w:r>
      <w:proofErr w:type="gramStart"/>
      <w:r>
        <w:rPr>
          <w:rFonts w:ascii="Times New Roman" w:hAnsi="Times New Roman"/>
          <w:sz w:val="24"/>
        </w:rPr>
        <w:t>wo</w:t>
      </w:r>
      <w:proofErr w:type="gramEnd"/>
      <w:r>
        <w:rPr>
          <w:rFonts w:ascii="Times New Roman" w:hAnsi="Times New Roman"/>
          <w:sz w:val="24"/>
        </w:rPr>
        <w:t xml:space="preserve"> ein Verbraucher einen Fall in einem nicht bindenden CDR-Prozess verliert, das Recht zur Einschaltung eines Gerichts theoretisch erhalten bleiben</w:t>
      </w:r>
      <w:r w:rsidR="00811CB5">
        <w:rPr>
          <w:rFonts w:ascii="Times New Roman" w:hAnsi="Times New Roman"/>
          <w:sz w:val="24"/>
        </w:rPr>
        <w:t>.</w:t>
      </w:r>
      <w:r>
        <w:rPr>
          <w:rFonts w:ascii="Times New Roman" w:hAnsi="Times New Roman"/>
          <w:sz w:val="24"/>
        </w:rPr>
        <w:t xml:space="preserve"> </w:t>
      </w:r>
      <w:r w:rsidR="00C436A4">
        <w:rPr>
          <w:rFonts w:ascii="Times New Roman" w:hAnsi="Times New Roman"/>
          <w:sz w:val="24"/>
        </w:rPr>
        <w:t>A</w:t>
      </w:r>
      <w:r>
        <w:rPr>
          <w:rFonts w:ascii="Times New Roman" w:hAnsi="Times New Roman"/>
          <w:sz w:val="24"/>
        </w:rPr>
        <w:t xml:space="preserve">llerdings dürften zwei Überlegungen diesen Weg unattraktiv machen: Erstens </w:t>
      </w:r>
      <w:proofErr w:type="gramStart"/>
      <w:r>
        <w:rPr>
          <w:rFonts w:ascii="Times New Roman" w:hAnsi="Times New Roman"/>
          <w:sz w:val="24"/>
        </w:rPr>
        <w:t>ist</w:t>
      </w:r>
      <w:proofErr w:type="gramEnd"/>
      <w:r>
        <w:rPr>
          <w:rFonts w:ascii="Times New Roman" w:hAnsi="Times New Roman"/>
          <w:sz w:val="24"/>
        </w:rPr>
        <w:t xml:space="preserve"> es (unter normalen Umständen) wahrscheinlich, dass ein Gericht in dem Fall genauso entscheidet wie die CDR-Institution. Zweitens könnte es Beschränkungen bei der Verfügbarkeit von Prozesskostenhilfe geben</w:t>
      </w:r>
      <w:r w:rsidR="00C436A4">
        <w:rPr>
          <w:rFonts w:ascii="Times New Roman" w:hAnsi="Times New Roman"/>
          <w:sz w:val="24"/>
        </w:rPr>
        <w:t>,</w:t>
      </w:r>
      <w:r>
        <w:rPr>
          <w:rFonts w:ascii="Times New Roman" w:hAnsi="Times New Roman"/>
          <w:sz w:val="24"/>
        </w:rPr>
        <w:t xml:space="preserve"> oder das Gericht könnte Strafen erheben, weil die Zeit des Gerichts verschwendet wird, zumindest gilt dies für England und Wales.</w:t>
      </w:r>
    </w:p>
    <w:p w14:paraId="78B17D72" w14:textId="7DEA9FD3" w:rsidR="00E27149" w:rsidRDefault="005B33EF"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Wenn Ombudsmann-Systeme per </w:t>
      </w:r>
      <w:r>
        <w:rPr>
          <w:rFonts w:ascii="Times New Roman" w:hAnsi="Times New Roman"/>
          <w:i/>
          <w:sz w:val="24"/>
        </w:rPr>
        <w:t>Gesetz</w:t>
      </w:r>
      <w:r>
        <w:rPr>
          <w:rFonts w:ascii="Times New Roman" w:hAnsi="Times New Roman"/>
          <w:sz w:val="24"/>
        </w:rPr>
        <w:t xml:space="preserve"> eingeführt werden, kann </w:t>
      </w:r>
      <w:r w:rsidR="00E832DB">
        <w:rPr>
          <w:rFonts w:ascii="Times New Roman" w:hAnsi="Times New Roman"/>
          <w:sz w:val="24"/>
        </w:rPr>
        <w:t xml:space="preserve">(nach EU-Recht) </w:t>
      </w:r>
      <w:r>
        <w:rPr>
          <w:rFonts w:ascii="Times New Roman" w:hAnsi="Times New Roman"/>
          <w:sz w:val="24"/>
        </w:rPr>
        <w:t>die juristische Verpflichtung ergänzt werden,</w:t>
      </w:r>
      <w:r w:rsidR="008803BC">
        <w:rPr>
          <w:rFonts w:ascii="Times New Roman" w:hAnsi="Times New Roman"/>
          <w:sz w:val="24"/>
        </w:rPr>
        <w:t xml:space="preserve"> </w:t>
      </w:r>
      <w:r>
        <w:rPr>
          <w:rFonts w:ascii="Times New Roman" w:hAnsi="Times New Roman"/>
          <w:sz w:val="24"/>
        </w:rPr>
        <w:t xml:space="preserve">dass </w:t>
      </w:r>
      <w:r>
        <w:rPr>
          <w:rFonts w:ascii="Times New Roman" w:hAnsi="Times New Roman"/>
          <w:i/>
          <w:sz w:val="24"/>
        </w:rPr>
        <w:t>wenn</w:t>
      </w:r>
      <w:r>
        <w:rPr>
          <w:rFonts w:ascii="Times New Roman" w:hAnsi="Times New Roman"/>
          <w:sz w:val="24"/>
        </w:rPr>
        <w:t xml:space="preserve"> der Verbraucher die Entscheidung des Ombudsmanns annimmt, sowohl der Verbraucher als auch </w:t>
      </w:r>
      <w:r w:rsidR="00E832DB">
        <w:rPr>
          <w:rFonts w:ascii="Times New Roman" w:hAnsi="Times New Roman"/>
          <w:sz w:val="24"/>
        </w:rPr>
        <w:t>das Unternehmen (</w:t>
      </w:r>
      <w:proofErr w:type="gramStart"/>
      <w:r w:rsidR="00E832DB">
        <w:rPr>
          <w:rFonts w:ascii="Times New Roman" w:hAnsi="Times New Roman"/>
          <w:sz w:val="24"/>
        </w:rPr>
        <w:t>z.B</w:t>
      </w:r>
      <w:proofErr w:type="gramEnd"/>
      <w:r w:rsidR="00E832DB">
        <w:rPr>
          <w:rFonts w:ascii="Times New Roman" w:hAnsi="Times New Roman"/>
          <w:sz w:val="24"/>
        </w:rPr>
        <w:t xml:space="preserve">. eine </w:t>
      </w:r>
      <w:r>
        <w:rPr>
          <w:rFonts w:ascii="Times New Roman" w:hAnsi="Times New Roman"/>
          <w:sz w:val="24"/>
        </w:rPr>
        <w:t>Bank</w:t>
      </w:r>
      <w:r w:rsidR="00E832DB">
        <w:rPr>
          <w:rFonts w:ascii="Times New Roman" w:hAnsi="Times New Roman"/>
          <w:sz w:val="24"/>
        </w:rPr>
        <w:t>)</w:t>
      </w:r>
      <w:r>
        <w:rPr>
          <w:rFonts w:ascii="Times New Roman" w:hAnsi="Times New Roman"/>
          <w:sz w:val="24"/>
        </w:rPr>
        <w:t xml:space="preserve"> daran gebunden sind. Dies </w:t>
      </w:r>
      <w:proofErr w:type="gramStart"/>
      <w:r>
        <w:rPr>
          <w:rFonts w:ascii="Times New Roman" w:hAnsi="Times New Roman"/>
          <w:sz w:val="24"/>
        </w:rPr>
        <w:t>ist</w:t>
      </w:r>
      <w:proofErr w:type="gramEnd"/>
      <w:r>
        <w:rPr>
          <w:rFonts w:ascii="Times New Roman" w:hAnsi="Times New Roman"/>
          <w:sz w:val="24"/>
        </w:rPr>
        <w:t xml:space="preserve"> die normale Ausgangslage für Ombudsmänner für Finanz-, Pensions- sowie Rechtsberatung und andere Branchen in Großbritannien. </w:t>
      </w:r>
    </w:p>
    <w:p w14:paraId="4C2680F0" w14:textId="336451C2" w:rsidR="007F4233" w:rsidRDefault="005B33EF"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Wenn CDR-Systeme </w:t>
      </w:r>
      <w:r>
        <w:rPr>
          <w:rFonts w:ascii="Times New Roman" w:hAnsi="Times New Roman"/>
          <w:i/>
          <w:sz w:val="24"/>
        </w:rPr>
        <w:t>nicht vom Gesetzgeber vorgeschrieben</w:t>
      </w:r>
      <w:r>
        <w:rPr>
          <w:rFonts w:ascii="Times New Roman" w:hAnsi="Times New Roman"/>
          <w:sz w:val="24"/>
        </w:rPr>
        <w:t xml:space="preserve"> sind, kann entweder eine nicht bindende Entscheidung erzielt werden oder, wenn der Verbraucher und der Händler sich auf ein Schiedsverfahren einigen, eine Entscheidung, die nach Vertragsrecht für beide Seiten bindend ist. Das nationale Recht in den EU-Staaten sowie der Artikel 6 </w:t>
      </w:r>
      <w:r w:rsidR="00E832DB">
        <w:rPr>
          <w:rFonts w:ascii="Times New Roman" w:hAnsi="Times New Roman"/>
          <w:sz w:val="24"/>
        </w:rPr>
        <w:t xml:space="preserve">der Europäischen Menschenrechtskonvention </w:t>
      </w:r>
      <w:r>
        <w:rPr>
          <w:rFonts w:ascii="Times New Roman" w:hAnsi="Times New Roman"/>
          <w:sz w:val="24"/>
        </w:rPr>
        <w:t>gehen allgemein davon aus, dass eine Schiedsverfahrensklausel in den Allgemeinen Vertragsbedingungen eines Verkaufsvertrags als unfaire Bedingung nicht durchsetzbar ist (obgleich es in der Gesetzgebung mancher Länder zu diesem Problem überraschende Regelungen gibt). Auch wenn Beschlüsse für den Händler nicht bindend sind, kann der Anteil der Händler, die die Beschlüsse respektieren, variieren, er ist jedoch in vielen Mitgliedsstaaten</w:t>
      </w:r>
      <w:r w:rsidR="008803BC">
        <w:rPr>
          <w:rFonts w:ascii="Times New Roman" w:hAnsi="Times New Roman"/>
          <w:sz w:val="24"/>
        </w:rPr>
        <w:t xml:space="preserve"> </w:t>
      </w:r>
      <w:r>
        <w:rPr>
          <w:rFonts w:ascii="Times New Roman" w:hAnsi="Times New Roman"/>
          <w:sz w:val="24"/>
        </w:rPr>
        <w:t xml:space="preserve">hoch. Eine freiwillige Akzeptanz kann durch verschiedene Mechanismen unterstützt werden: Der Händler bzw. </w:t>
      </w:r>
      <w:proofErr w:type="gramStart"/>
      <w:r>
        <w:rPr>
          <w:rFonts w:ascii="Times New Roman" w:hAnsi="Times New Roman"/>
          <w:sz w:val="24"/>
        </w:rPr>
        <w:t>die</w:t>
      </w:r>
      <w:proofErr w:type="gramEnd"/>
      <w:r>
        <w:rPr>
          <w:rFonts w:ascii="Times New Roman" w:hAnsi="Times New Roman"/>
          <w:sz w:val="24"/>
        </w:rPr>
        <w:t xml:space="preserve"> Branche hat sich im Allgemeinen für ein CDR-System entschieden, um seine/ihre Position und sein/ihr Image zu unterstützen, daher kann ein hohes Maß an Eigeninteresse existieren. Ein Mechanismus, mit dem schlechte Beispiele öffentlich gemacht werden, kann hierbei hilfreich sein (wie in den nordischen Ländern); </w:t>
      </w:r>
      <w:r w:rsidR="00E832DB">
        <w:rPr>
          <w:rFonts w:ascii="Times New Roman" w:hAnsi="Times New Roman"/>
          <w:sz w:val="24"/>
        </w:rPr>
        <w:t xml:space="preserve">ebenfalls hilfreich kann es sein, wenn </w:t>
      </w:r>
      <w:r>
        <w:rPr>
          <w:rFonts w:ascii="Times New Roman" w:hAnsi="Times New Roman"/>
          <w:sz w:val="24"/>
        </w:rPr>
        <w:t xml:space="preserve">ein </w:t>
      </w:r>
      <w:r w:rsidR="00E832DB">
        <w:rPr>
          <w:rFonts w:ascii="Times New Roman" w:hAnsi="Times New Roman"/>
          <w:sz w:val="24"/>
        </w:rPr>
        <w:t>Wirt</w:t>
      </w:r>
      <w:r>
        <w:rPr>
          <w:rFonts w:ascii="Times New Roman" w:hAnsi="Times New Roman"/>
          <w:sz w:val="24"/>
        </w:rPr>
        <w:t xml:space="preserve">schaftsverband die Zahlung </w:t>
      </w:r>
      <w:r w:rsidR="00E832DB">
        <w:rPr>
          <w:rFonts w:ascii="Times New Roman" w:hAnsi="Times New Roman"/>
          <w:sz w:val="24"/>
        </w:rPr>
        <w:t xml:space="preserve">eines von der Schiedsstelle für angemessen erkannten finanziellen Ausgleichs </w:t>
      </w:r>
      <w:r>
        <w:rPr>
          <w:rFonts w:ascii="Times New Roman" w:hAnsi="Times New Roman"/>
          <w:sz w:val="24"/>
        </w:rPr>
        <w:t>garantier</w:t>
      </w:r>
      <w:r w:rsidR="00E832DB">
        <w:rPr>
          <w:rFonts w:ascii="Times New Roman" w:hAnsi="Times New Roman"/>
          <w:sz w:val="24"/>
        </w:rPr>
        <w:t>t</w:t>
      </w:r>
      <w:r>
        <w:rPr>
          <w:rFonts w:ascii="Times New Roman" w:hAnsi="Times New Roman"/>
          <w:sz w:val="24"/>
        </w:rPr>
        <w:t xml:space="preserve"> (wie in den Niederlanden).</w:t>
      </w:r>
    </w:p>
    <w:p w14:paraId="7C2D6135" w14:textId="77777777" w:rsidR="009D23AE" w:rsidRDefault="009D23AE" w:rsidP="000B221E">
      <w:pPr>
        <w:spacing w:after="0" w:line="240" w:lineRule="auto"/>
        <w:jc w:val="both"/>
        <w:rPr>
          <w:rFonts w:ascii="Times New Roman" w:hAnsi="Times New Roman" w:cs="Times New Roman"/>
          <w:sz w:val="24"/>
          <w:szCs w:val="24"/>
        </w:rPr>
      </w:pPr>
    </w:p>
    <w:p w14:paraId="73F72F47" w14:textId="77777777" w:rsidR="00270EE9" w:rsidRDefault="00270EE9" w:rsidP="000B221E">
      <w:pPr>
        <w:spacing w:after="0" w:line="240" w:lineRule="auto"/>
        <w:jc w:val="both"/>
        <w:rPr>
          <w:rFonts w:ascii="Times New Roman" w:hAnsi="Times New Roman" w:cs="Times New Roman"/>
          <w:sz w:val="24"/>
          <w:szCs w:val="24"/>
        </w:rPr>
      </w:pPr>
    </w:p>
    <w:p w14:paraId="6CDDAEE7" w14:textId="77777777" w:rsidR="00E27149" w:rsidRDefault="00E27149" w:rsidP="00E27149">
      <w:pPr>
        <w:spacing w:after="0" w:line="240" w:lineRule="auto"/>
        <w:jc w:val="center"/>
        <w:rPr>
          <w:rFonts w:ascii="Times New Roman" w:hAnsi="Times New Roman" w:cs="Times New Roman"/>
          <w:b/>
          <w:sz w:val="24"/>
          <w:szCs w:val="24"/>
        </w:rPr>
      </w:pPr>
      <w:r>
        <w:rPr>
          <w:rFonts w:ascii="Times New Roman" w:hAnsi="Times New Roman"/>
          <w:b/>
          <w:sz w:val="24"/>
        </w:rPr>
        <w:t>Allgemeinere Ziele:</w:t>
      </w:r>
    </w:p>
    <w:p w14:paraId="0F8BB45B" w14:textId="77777777" w:rsidR="00E27149" w:rsidRPr="00E27149" w:rsidRDefault="00E27149" w:rsidP="00E27149">
      <w:pPr>
        <w:spacing w:after="0" w:line="240" w:lineRule="auto"/>
        <w:jc w:val="center"/>
        <w:rPr>
          <w:rFonts w:ascii="Times New Roman" w:hAnsi="Times New Roman" w:cs="Times New Roman"/>
          <w:b/>
          <w:sz w:val="24"/>
          <w:szCs w:val="24"/>
        </w:rPr>
      </w:pPr>
      <w:r>
        <w:rPr>
          <w:rFonts w:ascii="Times New Roman" w:hAnsi="Times New Roman"/>
          <w:b/>
          <w:sz w:val="24"/>
        </w:rPr>
        <w:t>Streitbeilegung, Verbraucherberatung und bessere Marktregulierung</w:t>
      </w:r>
    </w:p>
    <w:p w14:paraId="7D92B1D7" w14:textId="77777777" w:rsidR="00E27149" w:rsidRPr="009D23AE" w:rsidRDefault="00E27149" w:rsidP="009D23AE">
      <w:pPr>
        <w:spacing w:after="0" w:line="240" w:lineRule="auto"/>
        <w:jc w:val="both"/>
        <w:rPr>
          <w:rFonts w:ascii="Times New Roman" w:hAnsi="Times New Roman" w:cs="Times New Roman"/>
          <w:sz w:val="24"/>
          <w:szCs w:val="24"/>
        </w:rPr>
      </w:pPr>
    </w:p>
    <w:p w14:paraId="7FBD7A71" w14:textId="77777777" w:rsidR="00E77015" w:rsidRDefault="00402EAF" w:rsidP="00E77015">
      <w:pPr>
        <w:spacing w:after="0" w:line="240" w:lineRule="auto"/>
        <w:jc w:val="both"/>
        <w:rPr>
          <w:rFonts w:ascii="Times New Roman" w:hAnsi="Times New Roman" w:cs="Times New Roman"/>
          <w:sz w:val="24"/>
          <w:szCs w:val="24"/>
        </w:rPr>
      </w:pPr>
      <w:r>
        <w:rPr>
          <w:rFonts w:ascii="Times New Roman" w:hAnsi="Times New Roman"/>
          <w:sz w:val="24"/>
        </w:rPr>
        <w:t xml:space="preserve">Es taucht dazu folgende Frage auf: Können CDR-Programme zum Wirtschaftswachstum beitragen und falls </w:t>
      </w:r>
      <w:proofErr w:type="gramStart"/>
      <w:r>
        <w:rPr>
          <w:rFonts w:ascii="Times New Roman" w:hAnsi="Times New Roman"/>
          <w:sz w:val="24"/>
        </w:rPr>
        <w:t>ja</w:t>
      </w:r>
      <w:proofErr w:type="gramEnd"/>
      <w:r>
        <w:rPr>
          <w:rFonts w:ascii="Times New Roman" w:hAnsi="Times New Roman"/>
          <w:sz w:val="24"/>
        </w:rPr>
        <w:t xml:space="preserve">, wie? Die Antwort </w:t>
      </w:r>
      <w:proofErr w:type="gramStart"/>
      <w:r>
        <w:rPr>
          <w:rFonts w:ascii="Times New Roman" w:hAnsi="Times New Roman"/>
          <w:sz w:val="24"/>
        </w:rPr>
        <w:t>ist</w:t>
      </w:r>
      <w:proofErr w:type="gramEnd"/>
      <w:r>
        <w:rPr>
          <w:rFonts w:ascii="Times New Roman" w:hAnsi="Times New Roman"/>
          <w:sz w:val="24"/>
        </w:rPr>
        <w:t xml:space="preserve"> bereits aus der Praxis einiger Mitgliedsstaaten offensichtlich. Wenn CDR-Systeme in geeigneter Weise gestaltet </w:t>
      </w:r>
      <w:proofErr w:type="gramStart"/>
      <w:r>
        <w:rPr>
          <w:rFonts w:ascii="Times New Roman" w:hAnsi="Times New Roman"/>
          <w:sz w:val="24"/>
        </w:rPr>
        <w:t>sind</w:t>
      </w:r>
      <w:proofErr w:type="gramEnd"/>
      <w:r>
        <w:rPr>
          <w:rFonts w:ascii="Times New Roman" w:hAnsi="Times New Roman"/>
          <w:sz w:val="24"/>
        </w:rPr>
        <w:t xml:space="preserve">, können sie aufgrund von drei Haupteigenschaften eindeutig zum Wirtschaftswachstum beitragen: </w:t>
      </w:r>
    </w:p>
    <w:p w14:paraId="230F2C46" w14:textId="77777777" w:rsidR="00402EAF" w:rsidRDefault="00402EAF" w:rsidP="00402EAF">
      <w:pPr>
        <w:pStyle w:val="Listenabsatz"/>
        <w:numPr>
          <w:ilvl w:val="0"/>
          <w:numId w:val="3"/>
        </w:numPr>
        <w:spacing w:after="0" w:line="240" w:lineRule="auto"/>
        <w:jc w:val="both"/>
        <w:rPr>
          <w:rFonts w:ascii="Times New Roman" w:hAnsi="Times New Roman" w:cs="Times New Roman"/>
          <w:sz w:val="24"/>
          <w:szCs w:val="24"/>
        </w:rPr>
      </w:pPr>
      <w:r>
        <w:rPr>
          <w:rFonts w:ascii="Times New Roman" w:hAnsi="Times New Roman"/>
          <w:sz w:val="24"/>
        </w:rPr>
        <w:lastRenderedPageBreak/>
        <w:t>Verbraucherberatung</w:t>
      </w:r>
    </w:p>
    <w:p w14:paraId="18225093" w14:textId="77777777" w:rsidR="00402EAF" w:rsidRDefault="00402EAF" w:rsidP="00402EAF">
      <w:pPr>
        <w:pStyle w:val="Listenabsatz"/>
        <w:numPr>
          <w:ilvl w:val="0"/>
          <w:numId w:val="3"/>
        </w:numPr>
        <w:spacing w:after="0" w:line="240" w:lineRule="auto"/>
        <w:jc w:val="both"/>
        <w:rPr>
          <w:rFonts w:ascii="Times New Roman" w:hAnsi="Times New Roman" w:cs="Times New Roman"/>
          <w:sz w:val="24"/>
          <w:szCs w:val="24"/>
        </w:rPr>
      </w:pPr>
      <w:r>
        <w:rPr>
          <w:rFonts w:ascii="Times New Roman" w:hAnsi="Times New Roman"/>
          <w:sz w:val="24"/>
        </w:rPr>
        <w:t>Streitbeilegung</w:t>
      </w:r>
    </w:p>
    <w:p w14:paraId="7779D464" w14:textId="77777777" w:rsidR="00402EAF" w:rsidRPr="00402EAF" w:rsidRDefault="00402EAF" w:rsidP="00402EAF">
      <w:pPr>
        <w:pStyle w:val="Listenabsatz"/>
        <w:numPr>
          <w:ilvl w:val="0"/>
          <w:numId w:val="3"/>
        </w:numPr>
        <w:spacing w:after="0" w:line="240" w:lineRule="auto"/>
        <w:jc w:val="both"/>
        <w:rPr>
          <w:rFonts w:ascii="Times New Roman" w:hAnsi="Times New Roman" w:cs="Times New Roman"/>
          <w:sz w:val="24"/>
          <w:szCs w:val="24"/>
        </w:rPr>
      </w:pPr>
      <w:r>
        <w:rPr>
          <w:rFonts w:ascii="Times New Roman" w:hAnsi="Times New Roman"/>
          <w:sz w:val="24"/>
        </w:rPr>
        <w:t>Rückmeldung konsolidierter Daten über die Handelsbedingungen im Markt</w:t>
      </w:r>
    </w:p>
    <w:p w14:paraId="17D5FAFD" w14:textId="002DB119" w:rsidR="00EE3A6F" w:rsidRPr="003C6F3C" w:rsidRDefault="00EE3A6F" w:rsidP="00EE3A6F">
      <w:pPr>
        <w:spacing w:after="0" w:line="240" w:lineRule="auto"/>
        <w:jc w:val="both"/>
        <w:rPr>
          <w:rFonts w:ascii="Times New Roman" w:hAnsi="Times New Roman" w:cs="Times New Roman"/>
          <w:sz w:val="24"/>
          <w:szCs w:val="24"/>
        </w:rPr>
      </w:pPr>
      <w:r>
        <w:rPr>
          <w:rFonts w:ascii="Times New Roman" w:hAnsi="Times New Roman"/>
          <w:sz w:val="24"/>
        </w:rPr>
        <w:t xml:space="preserve">Die zweite Funktion, </w:t>
      </w:r>
      <w:r>
        <w:rPr>
          <w:rFonts w:ascii="Times New Roman" w:hAnsi="Times New Roman"/>
          <w:i/>
          <w:sz w:val="24"/>
        </w:rPr>
        <w:t>die Streitbeilegung,</w:t>
      </w:r>
      <w:r>
        <w:rPr>
          <w:rFonts w:ascii="Times New Roman" w:hAnsi="Times New Roman"/>
          <w:sz w:val="24"/>
        </w:rPr>
        <w:t xml:space="preserve"> </w:t>
      </w:r>
      <w:proofErr w:type="gramStart"/>
      <w:r w:rsidR="00F8433B">
        <w:rPr>
          <w:rFonts w:ascii="Times New Roman" w:hAnsi="Times New Roman"/>
          <w:sz w:val="24"/>
        </w:rPr>
        <w:t>ist</w:t>
      </w:r>
      <w:proofErr w:type="gramEnd"/>
      <w:r w:rsidR="00F8433B">
        <w:rPr>
          <w:rFonts w:ascii="Times New Roman" w:hAnsi="Times New Roman"/>
          <w:sz w:val="24"/>
        </w:rPr>
        <w:t xml:space="preserve"> </w:t>
      </w:r>
      <w:r>
        <w:rPr>
          <w:rFonts w:ascii="Times New Roman" w:hAnsi="Times New Roman"/>
          <w:sz w:val="24"/>
        </w:rPr>
        <w:t>alle</w:t>
      </w:r>
      <w:r w:rsidR="00F8433B">
        <w:rPr>
          <w:rFonts w:ascii="Times New Roman" w:hAnsi="Times New Roman"/>
          <w:sz w:val="24"/>
        </w:rPr>
        <w:t>n</w:t>
      </w:r>
      <w:r>
        <w:rPr>
          <w:rFonts w:ascii="Times New Roman" w:hAnsi="Times New Roman"/>
          <w:sz w:val="24"/>
        </w:rPr>
        <w:t xml:space="preserve"> CDR-Systeme</w:t>
      </w:r>
      <w:r w:rsidR="00F8433B">
        <w:rPr>
          <w:rFonts w:ascii="Times New Roman" w:hAnsi="Times New Roman"/>
          <w:sz w:val="24"/>
        </w:rPr>
        <w:t>n</w:t>
      </w:r>
      <w:r>
        <w:rPr>
          <w:rFonts w:ascii="Times New Roman" w:hAnsi="Times New Roman"/>
          <w:sz w:val="24"/>
        </w:rPr>
        <w:t xml:space="preserve"> </w:t>
      </w:r>
      <w:r w:rsidR="00F8433B">
        <w:rPr>
          <w:rFonts w:ascii="Times New Roman" w:hAnsi="Times New Roman"/>
          <w:sz w:val="24"/>
        </w:rPr>
        <w:t xml:space="preserve">gemeinsam </w:t>
      </w:r>
      <w:r>
        <w:rPr>
          <w:rFonts w:ascii="Times New Roman" w:hAnsi="Times New Roman"/>
          <w:sz w:val="24"/>
        </w:rPr>
        <w:t>(</w:t>
      </w:r>
      <w:r w:rsidR="00F8433B">
        <w:rPr>
          <w:rFonts w:ascii="Times New Roman" w:hAnsi="Times New Roman"/>
          <w:sz w:val="24"/>
        </w:rPr>
        <w:t xml:space="preserve">wie auch den </w:t>
      </w:r>
      <w:r>
        <w:rPr>
          <w:rFonts w:ascii="Times New Roman" w:hAnsi="Times New Roman"/>
          <w:sz w:val="24"/>
        </w:rPr>
        <w:t>Gerichte</w:t>
      </w:r>
      <w:r w:rsidR="00F8433B">
        <w:rPr>
          <w:rFonts w:ascii="Times New Roman" w:hAnsi="Times New Roman"/>
          <w:sz w:val="24"/>
        </w:rPr>
        <w:t>n</w:t>
      </w:r>
      <w:r>
        <w:rPr>
          <w:rFonts w:ascii="Times New Roman" w:hAnsi="Times New Roman"/>
          <w:sz w:val="24"/>
        </w:rPr>
        <w:t xml:space="preserve">). Sie muss somit nicht genauer analysiert werden. Aber der erste und insbesondere der dritte Vorteil existieren allgemein nur bei </w:t>
      </w:r>
      <w:r>
        <w:rPr>
          <w:rFonts w:ascii="Times New Roman" w:hAnsi="Times New Roman"/>
          <w:i/>
          <w:sz w:val="24"/>
        </w:rPr>
        <w:t>Ombudsmann-</w:t>
      </w:r>
      <w:r>
        <w:rPr>
          <w:rFonts w:ascii="Times New Roman" w:hAnsi="Times New Roman"/>
          <w:sz w:val="24"/>
        </w:rPr>
        <w:t xml:space="preserve">Systemen und nicht bei Systemen, die wie </w:t>
      </w:r>
      <w:r>
        <w:rPr>
          <w:rFonts w:ascii="Times New Roman" w:hAnsi="Times New Roman"/>
          <w:i/>
          <w:sz w:val="24"/>
        </w:rPr>
        <w:t>Schiedsgerichte</w:t>
      </w:r>
      <w:r>
        <w:rPr>
          <w:rFonts w:ascii="Times New Roman" w:hAnsi="Times New Roman"/>
          <w:sz w:val="24"/>
        </w:rPr>
        <w:t xml:space="preserve"> arbeiten (</w:t>
      </w:r>
      <w:r w:rsidR="00276F12">
        <w:rPr>
          <w:rFonts w:ascii="Times New Roman" w:hAnsi="Times New Roman"/>
          <w:sz w:val="24"/>
        </w:rPr>
        <w:t xml:space="preserve">auch nicht bei </w:t>
      </w:r>
      <w:r>
        <w:rPr>
          <w:rFonts w:ascii="Times New Roman" w:hAnsi="Times New Roman"/>
          <w:sz w:val="24"/>
        </w:rPr>
        <w:t>den Gerichten selbst).</w:t>
      </w:r>
    </w:p>
    <w:p w14:paraId="070A7CBA" w14:textId="716AD51C" w:rsidR="008E5907" w:rsidRDefault="004E2501"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Die erste Funktion, </w:t>
      </w:r>
      <w:r>
        <w:rPr>
          <w:rFonts w:ascii="Times New Roman" w:hAnsi="Times New Roman"/>
          <w:i/>
          <w:sz w:val="24"/>
        </w:rPr>
        <w:t>die Beratung,</w:t>
      </w:r>
      <w:r w:rsidR="008803BC">
        <w:rPr>
          <w:rFonts w:ascii="Times New Roman" w:hAnsi="Times New Roman"/>
          <w:i/>
          <w:sz w:val="24"/>
        </w:rPr>
        <w:t xml:space="preserve"> </w:t>
      </w:r>
      <w:r>
        <w:rPr>
          <w:rFonts w:ascii="Times New Roman" w:hAnsi="Times New Roman"/>
          <w:sz w:val="24"/>
        </w:rPr>
        <w:t>bieten die meisten Ombudsmann-Systeme bereits an.</w:t>
      </w:r>
      <w:r>
        <w:rPr>
          <w:rStyle w:val="Funotenzeichen"/>
          <w:rFonts w:ascii="Times New Roman" w:hAnsi="Times New Roman"/>
          <w:sz w:val="24"/>
        </w:rPr>
        <w:footnoteReference w:id="11"/>
      </w:r>
      <w:r>
        <w:rPr>
          <w:rFonts w:ascii="Times New Roman" w:hAnsi="Times New Roman"/>
          <w:sz w:val="24"/>
        </w:rPr>
        <w:t xml:space="preserve"> Die statistische Auswertung zeigt dabei eindeutig, dass die Anzahl der Informationsanfragen bzw. Bitten um Beratung allgemein deutlich höher </w:t>
      </w:r>
      <w:proofErr w:type="gramStart"/>
      <w:r>
        <w:rPr>
          <w:rFonts w:ascii="Times New Roman" w:hAnsi="Times New Roman"/>
          <w:sz w:val="24"/>
        </w:rPr>
        <w:t>ist</w:t>
      </w:r>
      <w:proofErr w:type="gramEnd"/>
      <w:r>
        <w:rPr>
          <w:rFonts w:ascii="Times New Roman" w:hAnsi="Times New Roman"/>
          <w:sz w:val="24"/>
        </w:rPr>
        <w:t xml:space="preserve"> als die Anzahl </w:t>
      </w:r>
      <w:r w:rsidR="00276F12">
        <w:rPr>
          <w:rFonts w:ascii="Times New Roman" w:hAnsi="Times New Roman"/>
          <w:sz w:val="24"/>
        </w:rPr>
        <w:t xml:space="preserve">förmlicher </w:t>
      </w:r>
      <w:r>
        <w:rPr>
          <w:rFonts w:ascii="Times New Roman" w:hAnsi="Times New Roman"/>
          <w:sz w:val="24"/>
        </w:rPr>
        <w:t xml:space="preserve">Streitigkeiten, die die Ombudsmänner letztendlich zu </w:t>
      </w:r>
      <w:r w:rsidR="00276F12">
        <w:rPr>
          <w:rFonts w:ascii="Times New Roman" w:hAnsi="Times New Roman"/>
          <w:sz w:val="24"/>
        </w:rPr>
        <w:t xml:space="preserve">lösen </w:t>
      </w:r>
      <w:r>
        <w:rPr>
          <w:rFonts w:ascii="Times New Roman" w:hAnsi="Times New Roman"/>
          <w:sz w:val="24"/>
        </w:rPr>
        <w:t xml:space="preserve">haben. Die Beratungsfunktion gilt für die Anfangsphase, bevor die </w:t>
      </w:r>
      <w:r w:rsidR="00276F12">
        <w:rPr>
          <w:rFonts w:ascii="Times New Roman" w:hAnsi="Times New Roman"/>
          <w:sz w:val="24"/>
        </w:rPr>
        <w:t xml:space="preserve">Streitigkeiten selektiert und unterschiedliche </w:t>
      </w:r>
      <w:r>
        <w:rPr>
          <w:rFonts w:ascii="Times New Roman" w:hAnsi="Times New Roman"/>
          <w:sz w:val="24"/>
        </w:rPr>
        <w:t xml:space="preserve">interne Prozessschritte eingeleitet werden (beispielsweise Ablehnung wegen Nichtzuständigkeit, zügige Streitbeilegung oder interne </w:t>
      </w:r>
      <w:r w:rsidR="00276F12">
        <w:rPr>
          <w:rFonts w:ascii="Times New Roman" w:hAnsi="Times New Roman"/>
          <w:sz w:val="24"/>
        </w:rPr>
        <w:t xml:space="preserve">Eskalation </w:t>
      </w:r>
      <w:r>
        <w:rPr>
          <w:rFonts w:ascii="Times New Roman" w:hAnsi="Times New Roman"/>
          <w:sz w:val="24"/>
        </w:rPr>
        <w:t xml:space="preserve">an einen </w:t>
      </w:r>
      <w:r w:rsidR="00276F12">
        <w:rPr>
          <w:rFonts w:ascii="Times New Roman" w:hAnsi="Times New Roman"/>
          <w:sz w:val="24"/>
        </w:rPr>
        <w:t xml:space="preserve">erfahreneren </w:t>
      </w:r>
      <w:r>
        <w:rPr>
          <w:rFonts w:ascii="Times New Roman" w:hAnsi="Times New Roman"/>
          <w:sz w:val="24"/>
        </w:rPr>
        <w:t xml:space="preserve">Bearbeiter). CDR-Systeme, die wie Schiedsgerichte arbeiten, können eine Erstberatungsfunktion haben, diese ist jedoch relativ selten und in der Regel im Umfang beschränkt: </w:t>
      </w:r>
      <w:r w:rsidR="00276F12">
        <w:rPr>
          <w:rFonts w:ascii="Times New Roman" w:hAnsi="Times New Roman"/>
          <w:sz w:val="24"/>
        </w:rPr>
        <w:t>ihr</w:t>
      </w:r>
      <w:r>
        <w:rPr>
          <w:rFonts w:ascii="Times New Roman" w:hAnsi="Times New Roman"/>
          <w:sz w:val="24"/>
        </w:rPr>
        <w:t xml:space="preserve"> Service </w:t>
      </w:r>
      <w:r w:rsidR="00276F12">
        <w:rPr>
          <w:rFonts w:ascii="Times New Roman" w:hAnsi="Times New Roman"/>
          <w:sz w:val="24"/>
        </w:rPr>
        <w:t xml:space="preserve">ist </w:t>
      </w:r>
      <w:r>
        <w:rPr>
          <w:rFonts w:ascii="Times New Roman" w:hAnsi="Times New Roman"/>
          <w:sz w:val="24"/>
        </w:rPr>
        <w:t>im Wesentlichen ein Schiedsverfahren</w:t>
      </w:r>
      <w:r w:rsidR="00276F12">
        <w:rPr>
          <w:rFonts w:ascii="Times New Roman" w:hAnsi="Times New Roman"/>
          <w:sz w:val="24"/>
        </w:rPr>
        <w:t xml:space="preserve">, das </w:t>
      </w:r>
      <w:r>
        <w:rPr>
          <w:rFonts w:ascii="Times New Roman" w:hAnsi="Times New Roman"/>
          <w:sz w:val="24"/>
        </w:rPr>
        <w:t xml:space="preserve">nur eingeleitet wird, wenn es die Parteien verlangen und dafür bezahlen. </w:t>
      </w:r>
      <w:r>
        <w:rPr>
          <w:rStyle w:val="Funotenzeichen"/>
          <w:rFonts w:ascii="Times New Roman" w:hAnsi="Times New Roman"/>
          <w:sz w:val="24"/>
        </w:rPr>
        <w:footnoteReference w:id="12"/>
      </w:r>
      <w:r>
        <w:rPr>
          <w:rFonts w:ascii="Times New Roman" w:hAnsi="Times New Roman"/>
          <w:sz w:val="24"/>
        </w:rPr>
        <w:t xml:space="preserve"> </w:t>
      </w:r>
    </w:p>
    <w:p w14:paraId="385FA39E" w14:textId="2A7E9254" w:rsidR="00E77015" w:rsidRPr="001F70C6" w:rsidRDefault="008E5907" w:rsidP="00921D92">
      <w:pPr>
        <w:spacing w:after="0" w:line="240" w:lineRule="auto"/>
        <w:ind w:firstLine="720"/>
        <w:jc w:val="both"/>
        <w:rPr>
          <w:rFonts w:ascii="Times New Roman" w:hAnsi="Times New Roman" w:cs="Times New Roman"/>
          <w:sz w:val="24"/>
          <w:szCs w:val="24"/>
        </w:rPr>
      </w:pPr>
      <w:proofErr w:type="gramStart"/>
      <w:r>
        <w:rPr>
          <w:rFonts w:ascii="Times New Roman" w:hAnsi="Times New Roman"/>
          <w:sz w:val="24"/>
        </w:rPr>
        <w:t>Bei den meisten Schiedsverfahren findet keine Mediation statt (nur in den Niederlanden wird zurzeit die Einführung einer Mediationsphase getestet).</w:t>
      </w:r>
      <w:proofErr w:type="gramEnd"/>
      <w:r>
        <w:rPr>
          <w:rFonts w:ascii="Times New Roman" w:hAnsi="Times New Roman"/>
          <w:sz w:val="24"/>
        </w:rPr>
        <w:t xml:space="preserve"> In den nordischen Staaten werden bei den CDR-Systemen die Verbraucher nicht zu den Erfolgsaussichten ihrer Klage beraten, bevor die Bearbeitung der Klage beginnt. Es existieren jedoch andere Institutionen, die die Verbraucher beraten können, insbesondere </w:t>
      </w:r>
      <w:r>
        <w:rPr>
          <w:rFonts w:ascii="Times New Roman" w:hAnsi="Times New Roman"/>
          <w:i/>
          <w:sz w:val="24"/>
        </w:rPr>
        <w:t>vor dem Kauf,</w:t>
      </w:r>
      <w:r>
        <w:rPr>
          <w:rFonts w:ascii="Times New Roman" w:hAnsi="Times New Roman"/>
          <w:sz w:val="24"/>
        </w:rPr>
        <w:t xml:space="preserve"> um schlechte Käufe von Anfang </w:t>
      </w:r>
      <w:proofErr w:type="gramStart"/>
      <w:r>
        <w:rPr>
          <w:rFonts w:ascii="Times New Roman" w:hAnsi="Times New Roman"/>
          <w:sz w:val="24"/>
        </w:rPr>
        <w:t>an</w:t>
      </w:r>
      <w:proofErr w:type="gramEnd"/>
      <w:r>
        <w:rPr>
          <w:rFonts w:ascii="Times New Roman" w:hAnsi="Times New Roman"/>
          <w:sz w:val="24"/>
        </w:rPr>
        <w:t xml:space="preserve"> zu verhindern.</w:t>
      </w:r>
    </w:p>
    <w:p w14:paraId="4814B924" w14:textId="0176C930" w:rsidR="00266423" w:rsidRDefault="00E8469F"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Die dritte Funktion, </w:t>
      </w:r>
      <w:r>
        <w:rPr>
          <w:rFonts w:ascii="Times New Roman" w:hAnsi="Times New Roman"/>
          <w:i/>
          <w:sz w:val="24"/>
        </w:rPr>
        <w:t>die Erfassung und Veröffentlichung von Marktdaten,</w:t>
      </w:r>
      <w:r>
        <w:rPr>
          <w:rFonts w:ascii="Times New Roman" w:hAnsi="Times New Roman"/>
          <w:sz w:val="24"/>
        </w:rPr>
        <w:t xml:space="preserve"> hat einen enormen potenziellen Wert. Wenn ein CDR-System diese Funktionen erbringen soll, kann dies signifikante wirtschaftliche Effekte haben. Bei diesem System werden die Ombudsmänner zu wichtigen </w:t>
      </w:r>
      <w:r w:rsidR="00276F12">
        <w:rPr>
          <w:rFonts w:ascii="Times New Roman" w:hAnsi="Times New Roman"/>
          <w:sz w:val="24"/>
        </w:rPr>
        <w:t>Stützen</w:t>
      </w:r>
      <w:r>
        <w:rPr>
          <w:rFonts w:ascii="Times New Roman" w:hAnsi="Times New Roman"/>
          <w:sz w:val="24"/>
        </w:rPr>
        <w:t xml:space="preserve"> der Marktüberwachung und –regulierung. Sie dienen </w:t>
      </w:r>
      <w:proofErr w:type="gramStart"/>
      <w:r>
        <w:rPr>
          <w:rFonts w:ascii="Times New Roman" w:hAnsi="Times New Roman"/>
          <w:sz w:val="24"/>
        </w:rPr>
        <w:t>als</w:t>
      </w:r>
      <w:proofErr w:type="gramEnd"/>
      <w:r>
        <w:rPr>
          <w:rFonts w:ascii="Times New Roman" w:hAnsi="Times New Roman"/>
          <w:sz w:val="24"/>
        </w:rPr>
        <w:t xml:space="preserve"> Frühwarnsystem und unterstützen durch ihre Überwachung die Kontrolle durch die öffentlichen Regulierungsbehörden. Es ist kein Zufall, dass die wichtigsten britischen Ombudsmänner im Rahmen der Regulierungsgesetzgebung berufen wurden, und zwar ganz bewusst </w:t>
      </w:r>
      <w:r w:rsidR="00276F12">
        <w:rPr>
          <w:rFonts w:ascii="Times New Roman" w:hAnsi="Times New Roman"/>
          <w:sz w:val="24"/>
        </w:rPr>
        <w:t xml:space="preserve">in der Nähe </w:t>
      </w:r>
      <w:r>
        <w:rPr>
          <w:rFonts w:ascii="Times New Roman" w:hAnsi="Times New Roman"/>
          <w:sz w:val="24"/>
        </w:rPr>
        <w:t>de</w:t>
      </w:r>
      <w:r w:rsidR="00276F12">
        <w:rPr>
          <w:rFonts w:ascii="Times New Roman" w:hAnsi="Times New Roman"/>
          <w:sz w:val="24"/>
        </w:rPr>
        <w:t>r</w:t>
      </w:r>
      <w:r>
        <w:rPr>
          <w:rFonts w:ascii="Times New Roman" w:hAnsi="Times New Roman"/>
          <w:sz w:val="24"/>
        </w:rPr>
        <w:t xml:space="preserve"> Regulierungsbehörden (typische Beispiele sind die Ombudsmänner für Finanz-, Pensions- und Rechtsberatung, höhere Bildung sowie die CDR-Systeme des Privatsektors für Kommunikation, Energie, Wasserversorgung usw.).</w:t>
      </w:r>
    </w:p>
    <w:p w14:paraId="5E0F84A0" w14:textId="4EB23322" w:rsidR="00F530ED" w:rsidRDefault="00276F12"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Die</w:t>
      </w:r>
      <w:r w:rsidR="00266423">
        <w:rPr>
          <w:rFonts w:ascii="Times New Roman" w:hAnsi="Times New Roman"/>
          <w:sz w:val="24"/>
        </w:rPr>
        <w:t xml:space="preserve"> dritte Funktion</w:t>
      </w:r>
      <w:r>
        <w:rPr>
          <w:rFonts w:ascii="Times New Roman" w:hAnsi="Times New Roman"/>
          <w:sz w:val="24"/>
        </w:rPr>
        <w:t xml:space="preserve"> wirkt im einzelnen wie folgt</w:t>
      </w:r>
      <w:r w:rsidR="00266423">
        <w:rPr>
          <w:rFonts w:ascii="Times New Roman" w:hAnsi="Times New Roman"/>
          <w:sz w:val="24"/>
        </w:rPr>
        <w:t xml:space="preserve">: Erstens erfasst die CDR-Institution jeden Kontakt, der in ihren </w:t>
      </w:r>
      <w:r>
        <w:rPr>
          <w:rFonts w:ascii="Times New Roman" w:hAnsi="Times New Roman"/>
          <w:sz w:val="24"/>
        </w:rPr>
        <w:t>Informations- und Kommunikations</w:t>
      </w:r>
      <w:r w:rsidR="00266423">
        <w:rPr>
          <w:rFonts w:ascii="Times New Roman" w:hAnsi="Times New Roman"/>
          <w:sz w:val="24"/>
        </w:rPr>
        <w:t>-Systemen eingeht. Das heißt, die CDR-Institution verfügt über eine umfassende Datenbank der Probleme und der Händler, gegen die Ansprüche erhoben werden – und wenn eine allgemeinere Beratungsfunktion existiert (wie in den Ombudsmänner-Systemen)</w:t>
      </w:r>
      <w:r w:rsidR="00F469A4">
        <w:rPr>
          <w:rFonts w:ascii="Times New Roman" w:hAnsi="Times New Roman"/>
          <w:sz w:val="24"/>
        </w:rPr>
        <w:t>, mit Bezug auf welche Händler Frangen in der Beratung gestellt werden</w:t>
      </w:r>
      <w:r w:rsidR="00266423">
        <w:rPr>
          <w:rFonts w:ascii="Times New Roman" w:hAnsi="Times New Roman"/>
          <w:sz w:val="24"/>
        </w:rPr>
        <w:t xml:space="preserve">. Zweitens werden die konsolidierten Daten veröffentlicht. Die Veröffentlichung macht die Art der Hauptprobleme transparent, die zu diesem Zeitpunkt in einem Sektor existieren, wobei allgemeine </w:t>
      </w:r>
      <w:proofErr w:type="gramStart"/>
      <w:r w:rsidR="00266423">
        <w:rPr>
          <w:rFonts w:ascii="Times New Roman" w:hAnsi="Times New Roman"/>
          <w:sz w:val="24"/>
        </w:rPr>
        <w:t>oder</w:t>
      </w:r>
      <w:proofErr w:type="gramEnd"/>
      <w:r w:rsidR="00266423">
        <w:rPr>
          <w:rFonts w:ascii="Times New Roman" w:hAnsi="Times New Roman"/>
          <w:sz w:val="24"/>
        </w:rPr>
        <w:t xml:space="preserve"> neue Trends und die beteiligten Händler </w:t>
      </w:r>
      <w:r w:rsidR="00266423">
        <w:rPr>
          <w:rFonts w:ascii="Times New Roman" w:hAnsi="Times New Roman"/>
          <w:sz w:val="24"/>
        </w:rPr>
        <w:lastRenderedPageBreak/>
        <w:t>identifiziert werden</w:t>
      </w:r>
      <w:r w:rsidR="00F469A4">
        <w:rPr>
          <w:rFonts w:ascii="Times New Roman" w:hAnsi="Times New Roman"/>
          <w:sz w:val="24"/>
        </w:rPr>
        <w:t>.</w:t>
      </w:r>
      <w:r w:rsidR="00266423">
        <w:rPr>
          <w:rFonts w:ascii="Times New Roman" w:hAnsi="Times New Roman"/>
          <w:sz w:val="24"/>
        </w:rPr>
        <w:t xml:space="preserve"> Es kann erkannt werden, welche Händler das Gesetz verletzen, insbesondere systematisch, sodass sofort Untersuchungen der Strafverfolgungsbehörden und Maßnahmen eingeleitet werden können. Verbraucher erhalten Informationen, die sie für zukünftige Kaufentscheidungen nutzen können, beispielsweise welche Händler, Produktarten </w:t>
      </w:r>
      <w:proofErr w:type="gramStart"/>
      <w:r w:rsidR="00266423">
        <w:rPr>
          <w:rFonts w:ascii="Times New Roman" w:hAnsi="Times New Roman"/>
          <w:sz w:val="24"/>
        </w:rPr>
        <w:t>oder</w:t>
      </w:r>
      <w:proofErr w:type="gramEnd"/>
      <w:r w:rsidR="00266423">
        <w:rPr>
          <w:rFonts w:ascii="Times New Roman" w:hAnsi="Times New Roman"/>
          <w:sz w:val="24"/>
        </w:rPr>
        <w:t xml:space="preserve"> Dienstleistungsarten sie bevorzugen oder vermeiden sollten, und können den bisherigen Anbieter wechseln. Händler mit gutem Ruf unterstützen solche Mechanismen, da diese Mechanismen schnell unlautere Händler identifizieren und die Einhaltung hoher Branchenstandards sowie die ständige Erhöhung dieser Standards unterstützen.</w:t>
      </w:r>
    </w:p>
    <w:p w14:paraId="145FD335" w14:textId="1EA96B39" w:rsidR="00F530ED" w:rsidRDefault="00F530ED" w:rsidP="00921D92">
      <w:pPr>
        <w:spacing w:after="0" w:line="240" w:lineRule="auto"/>
        <w:ind w:firstLine="720"/>
        <w:jc w:val="both"/>
        <w:rPr>
          <w:rFonts w:ascii="Times New Roman" w:hAnsi="Times New Roman" w:cs="Times New Roman"/>
          <w:sz w:val="24"/>
          <w:szCs w:val="24"/>
        </w:rPr>
      </w:pPr>
      <w:proofErr w:type="gramStart"/>
      <w:r>
        <w:rPr>
          <w:rFonts w:ascii="Times New Roman" w:hAnsi="Times New Roman"/>
          <w:sz w:val="24"/>
        </w:rPr>
        <w:t>Gerichten dagegen fällt es sehr schwer, Daten aus Einzelfällen zu konsolidieren.</w:t>
      </w:r>
      <w:proofErr w:type="gramEnd"/>
      <w:r>
        <w:rPr>
          <w:rFonts w:ascii="Times New Roman" w:hAnsi="Times New Roman"/>
          <w:sz w:val="24"/>
        </w:rPr>
        <w:t xml:space="preserve"> Ihre Publikationsfunktion (die in manchen Mitgliedsstaaten gar nicht existiert)</w:t>
      </w:r>
      <w:r>
        <w:rPr>
          <w:rStyle w:val="Funotenzeichen"/>
          <w:rFonts w:ascii="Times New Roman" w:hAnsi="Times New Roman"/>
          <w:sz w:val="24"/>
        </w:rPr>
        <w:footnoteReference w:id="13"/>
      </w:r>
      <w:r>
        <w:rPr>
          <w:rFonts w:ascii="Times New Roman" w:hAnsi="Times New Roman"/>
          <w:sz w:val="24"/>
        </w:rPr>
        <w:t xml:space="preserve"> beschränkt sich auf die Veröffentlichung von </w:t>
      </w:r>
      <w:r w:rsidR="00F469A4">
        <w:rPr>
          <w:rFonts w:ascii="Times New Roman" w:hAnsi="Times New Roman"/>
          <w:sz w:val="24"/>
        </w:rPr>
        <w:t xml:space="preserve">Gerichtsentscheidungen </w:t>
      </w:r>
      <w:r>
        <w:rPr>
          <w:rFonts w:ascii="Times New Roman" w:hAnsi="Times New Roman"/>
          <w:sz w:val="24"/>
        </w:rPr>
        <w:t xml:space="preserve">und betrifft die Fälle </w:t>
      </w:r>
      <w:proofErr w:type="gramStart"/>
      <w:r>
        <w:rPr>
          <w:rFonts w:ascii="Times New Roman" w:hAnsi="Times New Roman"/>
          <w:sz w:val="24"/>
        </w:rPr>
        <w:t>nicht,</w:t>
      </w:r>
      <w:proofErr w:type="gramEnd"/>
      <w:r>
        <w:rPr>
          <w:rFonts w:ascii="Times New Roman" w:hAnsi="Times New Roman"/>
          <w:sz w:val="24"/>
        </w:rPr>
        <w:t xml:space="preserve"> die einvernehmlich geregelt wurden (in Rechtsgebieten, die </w:t>
      </w:r>
      <w:r w:rsidR="00F469A4">
        <w:rPr>
          <w:rFonts w:ascii="Times New Roman" w:hAnsi="Times New Roman"/>
          <w:sz w:val="24"/>
        </w:rPr>
        <w:t>auf Basis des Common Law</w:t>
      </w:r>
      <w:r>
        <w:rPr>
          <w:rFonts w:ascii="Times New Roman" w:hAnsi="Times New Roman"/>
          <w:sz w:val="24"/>
        </w:rPr>
        <w:t xml:space="preserve"> urteilen, war es immer so, dass ungefähr 95 % der vor den Gerichten angestrengten Verfahren vor </w:t>
      </w:r>
      <w:r w:rsidR="00F469A4">
        <w:rPr>
          <w:rFonts w:ascii="Times New Roman" w:hAnsi="Times New Roman"/>
          <w:sz w:val="24"/>
        </w:rPr>
        <w:t xml:space="preserve">einer gerichtlichen Entscheidung durch </w:t>
      </w:r>
      <w:r>
        <w:rPr>
          <w:rFonts w:ascii="Times New Roman" w:hAnsi="Times New Roman"/>
          <w:sz w:val="24"/>
        </w:rPr>
        <w:t xml:space="preserve">Vergleich </w:t>
      </w:r>
      <w:r w:rsidR="00F469A4">
        <w:rPr>
          <w:rFonts w:ascii="Times New Roman" w:hAnsi="Times New Roman"/>
          <w:sz w:val="24"/>
        </w:rPr>
        <w:t>be</w:t>
      </w:r>
      <w:r>
        <w:rPr>
          <w:rFonts w:ascii="Times New Roman" w:hAnsi="Times New Roman"/>
          <w:sz w:val="24"/>
        </w:rPr>
        <w:t>endet</w:t>
      </w:r>
      <w:r w:rsidR="00F469A4">
        <w:rPr>
          <w:rFonts w:ascii="Times New Roman" w:hAnsi="Times New Roman"/>
          <w:sz w:val="24"/>
        </w:rPr>
        <w:t xml:space="preserve"> wurd</w:t>
      </w:r>
      <w:r>
        <w:rPr>
          <w:rFonts w:ascii="Times New Roman" w:hAnsi="Times New Roman"/>
          <w:sz w:val="24"/>
        </w:rPr>
        <w:t xml:space="preserve">en.) </w:t>
      </w:r>
      <w:r w:rsidR="00F469A4">
        <w:rPr>
          <w:rFonts w:ascii="Times New Roman" w:hAnsi="Times New Roman"/>
          <w:sz w:val="24"/>
        </w:rPr>
        <w:t>Die</w:t>
      </w:r>
      <w:r>
        <w:rPr>
          <w:rFonts w:ascii="Times New Roman" w:hAnsi="Times New Roman"/>
          <w:sz w:val="24"/>
        </w:rPr>
        <w:t xml:space="preserve"> Veröffentlichung der Gericht</w:t>
      </w:r>
      <w:r w:rsidR="00BE5343">
        <w:rPr>
          <w:rFonts w:ascii="Times New Roman" w:hAnsi="Times New Roman"/>
          <w:sz w:val="24"/>
        </w:rPr>
        <w:t>s</w:t>
      </w:r>
      <w:r>
        <w:rPr>
          <w:rFonts w:ascii="Times New Roman" w:hAnsi="Times New Roman"/>
          <w:sz w:val="24"/>
        </w:rPr>
        <w:t>e</w:t>
      </w:r>
      <w:r w:rsidR="00BE5343">
        <w:rPr>
          <w:rFonts w:ascii="Times New Roman" w:hAnsi="Times New Roman"/>
          <w:sz w:val="24"/>
        </w:rPr>
        <w:t>ntscheidungen geschieht</w:t>
      </w:r>
      <w:r>
        <w:rPr>
          <w:rFonts w:ascii="Times New Roman" w:hAnsi="Times New Roman"/>
          <w:sz w:val="24"/>
        </w:rPr>
        <w:t xml:space="preserve"> außerdem </w:t>
      </w:r>
      <w:r w:rsidR="00BE5343">
        <w:rPr>
          <w:rFonts w:ascii="Times New Roman" w:hAnsi="Times New Roman"/>
          <w:sz w:val="24"/>
        </w:rPr>
        <w:t xml:space="preserve">in der Regel mit erheblicher </w:t>
      </w:r>
      <w:r>
        <w:rPr>
          <w:rFonts w:ascii="Times New Roman" w:hAnsi="Times New Roman"/>
          <w:sz w:val="24"/>
        </w:rPr>
        <w:t xml:space="preserve">Zeitverzögerung. </w:t>
      </w:r>
      <w:proofErr w:type="gramStart"/>
      <w:r>
        <w:rPr>
          <w:rFonts w:ascii="Times New Roman" w:hAnsi="Times New Roman"/>
          <w:sz w:val="24"/>
        </w:rPr>
        <w:t xml:space="preserve">Einige Ombudsmänner veröffentlichen </w:t>
      </w:r>
      <w:r w:rsidR="00BE5343">
        <w:rPr>
          <w:rFonts w:ascii="Times New Roman" w:hAnsi="Times New Roman"/>
          <w:sz w:val="24"/>
        </w:rPr>
        <w:t xml:space="preserve">dagegen mittlerweile schon </w:t>
      </w:r>
      <w:r>
        <w:rPr>
          <w:rFonts w:ascii="Times New Roman" w:hAnsi="Times New Roman"/>
          <w:sz w:val="24"/>
        </w:rPr>
        <w:t>jedes Quartal Bericht</w:t>
      </w:r>
      <w:r w:rsidR="00BE5343">
        <w:rPr>
          <w:rFonts w:ascii="Times New Roman" w:hAnsi="Times New Roman"/>
          <w:sz w:val="24"/>
        </w:rPr>
        <w:t>e</w:t>
      </w:r>
      <w:r>
        <w:rPr>
          <w:rFonts w:ascii="Times New Roman" w:hAnsi="Times New Roman"/>
          <w:sz w:val="24"/>
        </w:rPr>
        <w:t>.</w:t>
      </w:r>
      <w:proofErr w:type="gramEnd"/>
      <w:r>
        <w:rPr>
          <w:rFonts w:ascii="Times New Roman" w:hAnsi="Times New Roman"/>
          <w:sz w:val="24"/>
        </w:rPr>
        <w:t xml:space="preserve"> CDR-Systeme, die nach dem Prinzip der Schiedsgerichte arbeiten, könnten zwar konsolidierte Daten der Fälle melden, die sie entschieden haben</w:t>
      </w:r>
      <w:r w:rsidR="00BE5343">
        <w:rPr>
          <w:rFonts w:ascii="Times New Roman" w:hAnsi="Times New Roman"/>
          <w:sz w:val="24"/>
        </w:rPr>
        <w:t xml:space="preserve"> -</w:t>
      </w:r>
      <w:r>
        <w:rPr>
          <w:rFonts w:ascii="Times New Roman" w:hAnsi="Times New Roman"/>
          <w:sz w:val="24"/>
        </w:rPr>
        <w:t xml:space="preserve"> viele tun dies jedoch nicht. Dies könnte dar</w:t>
      </w:r>
      <w:r w:rsidR="00BE5343">
        <w:rPr>
          <w:rFonts w:ascii="Times New Roman" w:hAnsi="Times New Roman"/>
          <w:sz w:val="24"/>
        </w:rPr>
        <w:t>a</w:t>
      </w:r>
      <w:r>
        <w:rPr>
          <w:rFonts w:ascii="Times New Roman" w:hAnsi="Times New Roman"/>
          <w:sz w:val="24"/>
        </w:rPr>
        <w:t xml:space="preserve">n liegen, dass die betreffende Branche </w:t>
      </w:r>
      <w:r w:rsidR="00BE5343">
        <w:rPr>
          <w:rFonts w:ascii="Times New Roman" w:hAnsi="Times New Roman"/>
          <w:sz w:val="24"/>
        </w:rPr>
        <w:t>die öffentliche Aufmerksamkeit dafür</w:t>
      </w:r>
      <w:r>
        <w:rPr>
          <w:rFonts w:ascii="Times New Roman" w:hAnsi="Times New Roman"/>
          <w:sz w:val="24"/>
        </w:rPr>
        <w:t xml:space="preserve"> minimieren will. Diese Daten enthalten wahrscheinlich außerdem nicht die </w:t>
      </w:r>
      <w:r w:rsidR="00BE5343">
        <w:rPr>
          <w:rFonts w:ascii="Times New Roman" w:hAnsi="Times New Roman"/>
          <w:sz w:val="24"/>
        </w:rPr>
        <w:t xml:space="preserve">möglicherweise </w:t>
      </w:r>
      <w:r>
        <w:rPr>
          <w:rFonts w:ascii="Times New Roman" w:hAnsi="Times New Roman"/>
          <w:sz w:val="24"/>
        </w:rPr>
        <w:t xml:space="preserve">wesentlich zahlreicheren </w:t>
      </w:r>
      <w:r w:rsidR="00BE5343">
        <w:rPr>
          <w:rFonts w:ascii="Times New Roman" w:hAnsi="Times New Roman"/>
          <w:sz w:val="24"/>
        </w:rPr>
        <w:t xml:space="preserve">Fälle von (potentiellen) </w:t>
      </w:r>
      <w:r>
        <w:rPr>
          <w:rFonts w:ascii="Times New Roman" w:hAnsi="Times New Roman"/>
          <w:sz w:val="24"/>
        </w:rPr>
        <w:t>Informationensanfragen bzw. Streitbeilegunge</w:t>
      </w:r>
      <w:r w:rsidR="00BE5343">
        <w:rPr>
          <w:rFonts w:ascii="Times New Roman" w:hAnsi="Times New Roman"/>
          <w:sz w:val="24"/>
        </w:rPr>
        <w:t>n</w:t>
      </w:r>
      <w:r>
        <w:rPr>
          <w:rFonts w:ascii="Times New Roman" w:hAnsi="Times New Roman"/>
          <w:sz w:val="24"/>
        </w:rPr>
        <w:t>.</w:t>
      </w:r>
    </w:p>
    <w:p w14:paraId="3B364D01" w14:textId="3D0E03D5" w:rsidR="00402EAF" w:rsidRDefault="002F7420"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Kurz, einige CDR-Systeme bieten nur </w:t>
      </w:r>
      <w:r w:rsidR="00BE5343">
        <w:rPr>
          <w:rFonts w:ascii="Times New Roman" w:hAnsi="Times New Roman"/>
          <w:sz w:val="24"/>
        </w:rPr>
        <w:t xml:space="preserve">die </w:t>
      </w:r>
      <w:r>
        <w:rPr>
          <w:rFonts w:ascii="Times New Roman" w:hAnsi="Times New Roman"/>
          <w:sz w:val="24"/>
        </w:rPr>
        <w:t xml:space="preserve">Funktion zur Streitbeilegung (in der Regel erfüllen sie diese Funktion perfekt und akzeptabel), andere Systeme können </w:t>
      </w:r>
      <w:r w:rsidR="00BE5343">
        <w:rPr>
          <w:rFonts w:ascii="Times New Roman" w:hAnsi="Times New Roman"/>
          <w:sz w:val="24"/>
        </w:rPr>
        <w:t xml:space="preserve">ein </w:t>
      </w:r>
      <w:r>
        <w:rPr>
          <w:rFonts w:ascii="Times New Roman" w:hAnsi="Times New Roman"/>
          <w:sz w:val="24"/>
        </w:rPr>
        <w:t xml:space="preserve">viel </w:t>
      </w:r>
      <w:r w:rsidR="00BE5343">
        <w:rPr>
          <w:rFonts w:ascii="Times New Roman" w:hAnsi="Times New Roman"/>
          <w:sz w:val="24"/>
        </w:rPr>
        <w:t xml:space="preserve">breiteres Spektrum an </w:t>
      </w:r>
      <w:r>
        <w:rPr>
          <w:rFonts w:ascii="Times New Roman" w:hAnsi="Times New Roman"/>
          <w:sz w:val="24"/>
        </w:rPr>
        <w:t>Leistungen erbringen, indem sie die Kundenberatung und die Konsolidierung von Marktinformationen einschließen, die für Regulierungsfragen und zur Verbesserung des Marktverhaltens hervorragend genutzt werden können. Inwieweit ein CDR-System diese drei oben erwähnten Funktionen ausfüllen kann, hängt von de</w:t>
      </w:r>
      <w:r w:rsidR="00BE5343">
        <w:rPr>
          <w:rFonts w:ascii="Times New Roman" w:hAnsi="Times New Roman"/>
          <w:sz w:val="24"/>
        </w:rPr>
        <w:t>r</w:t>
      </w:r>
      <w:r>
        <w:rPr>
          <w:rFonts w:ascii="Times New Roman" w:hAnsi="Times New Roman"/>
          <w:sz w:val="24"/>
        </w:rPr>
        <w:t xml:space="preserve"> Konzept</w:t>
      </w:r>
      <w:r w:rsidR="00BE5343">
        <w:rPr>
          <w:rFonts w:ascii="Times New Roman" w:hAnsi="Times New Roman"/>
          <w:sz w:val="24"/>
        </w:rPr>
        <w:t>ion</w:t>
      </w:r>
      <w:r>
        <w:rPr>
          <w:rFonts w:ascii="Times New Roman" w:hAnsi="Times New Roman"/>
          <w:sz w:val="24"/>
        </w:rPr>
        <w:t xml:space="preserve"> des C</w:t>
      </w:r>
      <w:r w:rsidR="00BE5343">
        <w:rPr>
          <w:rFonts w:ascii="Times New Roman" w:hAnsi="Times New Roman"/>
          <w:sz w:val="24"/>
        </w:rPr>
        <w:t>D</w:t>
      </w:r>
      <w:r>
        <w:rPr>
          <w:rFonts w:ascii="Times New Roman" w:hAnsi="Times New Roman"/>
          <w:sz w:val="24"/>
        </w:rPr>
        <w:t>R-Systems ab. Allgemein können CDR-Systeme nach dem Schiedsgerichtsprinzip, selbst wenn die Entscheidungen juristisch nicht bindend sind, als Streitbeilegungssysteme gut funktionieren, und die Entscheidungen werden weitgehend akzeptiert. Ombuds-Systeme dagegen können unabhängig davon, ob sie öffentlich</w:t>
      </w:r>
      <w:r w:rsidR="00B06969">
        <w:rPr>
          <w:rFonts w:ascii="Times New Roman" w:hAnsi="Times New Roman"/>
          <w:sz w:val="24"/>
        </w:rPr>
        <w:t>-</w:t>
      </w:r>
      <w:r>
        <w:rPr>
          <w:rFonts w:ascii="Times New Roman" w:hAnsi="Times New Roman"/>
          <w:sz w:val="24"/>
        </w:rPr>
        <w:t xml:space="preserve"> oder privat</w:t>
      </w:r>
      <w:r w:rsidR="00B06969">
        <w:rPr>
          <w:rFonts w:ascii="Times New Roman" w:hAnsi="Times New Roman"/>
          <w:sz w:val="24"/>
        </w:rPr>
        <w:t>r</w:t>
      </w:r>
      <w:r>
        <w:rPr>
          <w:rFonts w:ascii="Times New Roman" w:hAnsi="Times New Roman"/>
          <w:sz w:val="24"/>
        </w:rPr>
        <w:t>e</w:t>
      </w:r>
      <w:r w:rsidR="00B06969">
        <w:rPr>
          <w:rFonts w:ascii="Times New Roman" w:hAnsi="Times New Roman"/>
          <w:sz w:val="24"/>
        </w:rPr>
        <w:t>chtlich</w:t>
      </w:r>
      <w:r>
        <w:rPr>
          <w:rFonts w:ascii="Times New Roman" w:hAnsi="Times New Roman"/>
          <w:sz w:val="24"/>
        </w:rPr>
        <w:t xml:space="preserve"> </w:t>
      </w:r>
      <w:r w:rsidR="00B06969">
        <w:rPr>
          <w:rFonts w:ascii="Times New Roman" w:hAnsi="Times New Roman"/>
          <w:sz w:val="24"/>
        </w:rPr>
        <w:t>strukturiert sind</w:t>
      </w:r>
      <w:r>
        <w:rPr>
          <w:rFonts w:ascii="Times New Roman" w:hAnsi="Times New Roman"/>
          <w:sz w:val="24"/>
        </w:rPr>
        <w:t xml:space="preserve">, so gestaltet werden, dass sie Verbraucherberatung in großem Umfang anbieten und extrem wertvolle </w:t>
      </w:r>
      <w:r w:rsidR="00B06969">
        <w:rPr>
          <w:rFonts w:ascii="Times New Roman" w:hAnsi="Times New Roman"/>
          <w:sz w:val="24"/>
        </w:rPr>
        <w:t>I</w:t>
      </w:r>
      <w:r>
        <w:rPr>
          <w:rFonts w:ascii="Times New Roman" w:hAnsi="Times New Roman"/>
          <w:sz w:val="24"/>
        </w:rPr>
        <w:t xml:space="preserve">nformationen </w:t>
      </w:r>
      <w:r w:rsidR="00B06969">
        <w:rPr>
          <w:rFonts w:ascii="Times New Roman" w:hAnsi="Times New Roman"/>
          <w:sz w:val="24"/>
        </w:rPr>
        <w:t xml:space="preserve">nahezu in Echtzeit </w:t>
      </w:r>
      <w:r>
        <w:rPr>
          <w:rFonts w:ascii="Times New Roman" w:hAnsi="Times New Roman"/>
          <w:sz w:val="24"/>
        </w:rPr>
        <w:t>über Störungen im Markt und im Handel bereitstellen. Die Fähigkeit, diese Funktionen auszufüllen, hängt wesentlich von de</w:t>
      </w:r>
      <w:r w:rsidR="00B06969">
        <w:rPr>
          <w:rFonts w:ascii="Times New Roman" w:hAnsi="Times New Roman"/>
          <w:sz w:val="24"/>
        </w:rPr>
        <w:t>r</w:t>
      </w:r>
      <w:r>
        <w:rPr>
          <w:rFonts w:ascii="Times New Roman" w:hAnsi="Times New Roman"/>
          <w:sz w:val="24"/>
        </w:rPr>
        <w:t xml:space="preserve"> Konzept</w:t>
      </w:r>
      <w:r w:rsidR="00B06969">
        <w:rPr>
          <w:rFonts w:ascii="Times New Roman" w:hAnsi="Times New Roman"/>
          <w:sz w:val="24"/>
        </w:rPr>
        <w:t>ion</w:t>
      </w:r>
      <w:r>
        <w:rPr>
          <w:rFonts w:ascii="Times New Roman" w:hAnsi="Times New Roman"/>
          <w:sz w:val="24"/>
        </w:rPr>
        <w:t xml:space="preserve"> des CDR-Systems ab.</w:t>
      </w:r>
    </w:p>
    <w:p w14:paraId="2D34F469" w14:textId="16FA4962" w:rsidR="00117D58" w:rsidRDefault="00117D58"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Es ist wichtig, dass die Händler und insbesondere die Verbraucher nicht nur wissen, welche Beratungsstellen, welche Informationen und Hilfen es zur Streitbeilegung von Streitigkeiten gibt, sondern sie sollten </w:t>
      </w:r>
      <w:r w:rsidR="00322BA5">
        <w:rPr>
          <w:rFonts w:ascii="Times New Roman" w:hAnsi="Times New Roman"/>
          <w:sz w:val="24"/>
        </w:rPr>
        <w:t>sich auch merken können, an wen sie sich wenden können und keinerlei Hindernisse haben, um Zugang zu der passendsten Stelle zu gelangen</w:t>
      </w:r>
      <w:r>
        <w:rPr>
          <w:rFonts w:ascii="Times New Roman" w:hAnsi="Times New Roman"/>
          <w:sz w:val="24"/>
        </w:rPr>
        <w:t xml:space="preserve">. Diese Überlegungen zeigen, dass </w:t>
      </w:r>
      <w:r w:rsidR="00322BA5">
        <w:rPr>
          <w:rFonts w:ascii="Times New Roman" w:hAnsi="Times New Roman"/>
          <w:sz w:val="24"/>
        </w:rPr>
        <w:t>die Landschaft nationaler</w:t>
      </w:r>
      <w:r>
        <w:rPr>
          <w:rFonts w:ascii="Times New Roman" w:hAnsi="Times New Roman"/>
          <w:sz w:val="24"/>
        </w:rPr>
        <w:t xml:space="preserve"> Systeme so einfach wie möglich gestaltet sein </w:t>
      </w:r>
      <w:r w:rsidR="00322BA5">
        <w:rPr>
          <w:rFonts w:ascii="Times New Roman" w:hAnsi="Times New Roman"/>
          <w:sz w:val="24"/>
        </w:rPr>
        <w:t>sollte</w:t>
      </w:r>
      <w:r>
        <w:rPr>
          <w:rFonts w:ascii="Times New Roman" w:hAnsi="Times New Roman"/>
          <w:sz w:val="24"/>
        </w:rPr>
        <w:t xml:space="preserve">. Die übliche Forderung nach offenem Wettbewerb für Dienstleistungen </w:t>
      </w:r>
      <w:r w:rsidR="00B05799">
        <w:rPr>
          <w:rFonts w:ascii="Times New Roman" w:hAnsi="Times New Roman"/>
          <w:sz w:val="24"/>
        </w:rPr>
        <w:t>sollte auch mit Blick auf die privaten CDR-Dienstleistungen nochmals überdacht werden</w:t>
      </w:r>
      <w:r>
        <w:rPr>
          <w:rFonts w:ascii="Times New Roman" w:hAnsi="Times New Roman"/>
          <w:sz w:val="24"/>
        </w:rPr>
        <w:t xml:space="preserve">, da zu viel Vielfalt bei den angebotenen Beratungen und Leistungen (durch verschiedene Gerichte, durch Systeme für </w:t>
      </w:r>
      <w:r w:rsidR="00B05799">
        <w:rPr>
          <w:rFonts w:ascii="Times New Roman" w:hAnsi="Times New Roman"/>
          <w:sz w:val="24"/>
        </w:rPr>
        <w:t>Bagatellklagen vor Gericht</w:t>
      </w:r>
      <w:r>
        <w:rPr>
          <w:rFonts w:ascii="Times New Roman" w:hAnsi="Times New Roman"/>
          <w:sz w:val="24"/>
        </w:rPr>
        <w:t>, Schiedsverfahren oder Ombuds</w:t>
      </w:r>
      <w:r w:rsidR="00B05799">
        <w:rPr>
          <w:rFonts w:ascii="Times New Roman" w:hAnsi="Times New Roman"/>
          <w:sz w:val="24"/>
        </w:rPr>
        <w:t>stellen</w:t>
      </w:r>
      <w:r>
        <w:rPr>
          <w:rFonts w:ascii="Times New Roman" w:hAnsi="Times New Roman"/>
          <w:sz w:val="24"/>
        </w:rPr>
        <w:t xml:space="preserve">) weder die Klagen der Verbraucher minimiert, noch die Fähigkeit zur Konsolidierung von Marktdaten maximiert. Es besteht außerdem die Gefahr, dass ein Preiswettbewerb zwischen den CDR-Anbietern auf Kosten der Qualität geht und damit auf </w:t>
      </w:r>
      <w:r>
        <w:rPr>
          <w:rFonts w:ascii="Times New Roman" w:hAnsi="Times New Roman"/>
          <w:sz w:val="24"/>
        </w:rPr>
        <w:lastRenderedPageBreak/>
        <w:t xml:space="preserve">Kosten des Vertrauens der Öffentlichkeit in diesen Mechanismus. Statt des einfachen Mantras „Wenn Sie ein Problem haben, gehen Sie zum Anwalt" </w:t>
      </w:r>
      <w:proofErr w:type="gramStart"/>
      <w:r>
        <w:rPr>
          <w:rFonts w:ascii="Times New Roman" w:hAnsi="Times New Roman"/>
          <w:sz w:val="24"/>
        </w:rPr>
        <w:t>oder</w:t>
      </w:r>
      <w:proofErr w:type="gramEnd"/>
      <w:r>
        <w:rPr>
          <w:rFonts w:ascii="Times New Roman" w:hAnsi="Times New Roman"/>
          <w:sz w:val="24"/>
        </w:rPr>
        <w:t xml:space="preserve"> „gehen Sie zum Gericht", sollte der Tipp besser lauten „Wenn Sie ein Problem haben, wenden Sie sich zuerst an den Händler und dann an den Ombudsmann".</w:t>
      </w:r>
    </w:p>
    <w:p w14:paraId="639119D6" w14:textId="6001A394" w:rsidR="008F06DA" w:rsidRDefault="002666C5"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Analytisch betrachtet kann diese Vorstellung von den Aufgaben der </w:t>
      </w:r>
      <w:r w:rsidR="00B05799">
        <w:rPr>
          <w:rFonts w:ascii="Times New Roman" w:hAnsi="Times New Roman"/>
          <w:sz w:val="24"/>
        </w:rPr>
        <w:t xml:space="preserve">Ombudsstellen </w:t>
      </w:r>
      <w:r>
        <w:rPr>
          <w:rFonts w:ascii="Times New Roman" w:hAnsi="Times New Roman"/>
          <w:sz w:val="24"/>
        </w:rPr>
        <w:t xml:space="preserve">daher </w:t>
      </w:r>
      <w:proofErr w:type="gramStart"/>
      <w:r>
        <w:rPr>
          <w:rFonts w:ascii="Times New Roman" w:hAnsi="Times New Roman"/>
          <w:sz w:val="24"/>
        </w:rPr>
        <w:t>als</w:t>
      </w:r>
      <w:proofErr w:type="gramEnd"/>
      <w:r>
        <w:rPr>
          <w:rFonts w:ascii="Times New Roman" w:hAnsi="Times New Roman"/>
          <w:sz w:val="24"/>
        </w:rPr>
        <w:t xml:space="preserve"> Hybridform zwischen Institutionen zur Verbraucherberatung (bzw. </w:t>
      </w:r>
      <w:proofErr w:type="gramStart"/>
      <w:r>
        <w:rPr>
          <w:rFonts w:ascii="Times New Roman" w:hAnsi="Times New Roman"/>
          <w:sz w:val="24"/>
        </w:rPr>
        <w:t xml:space="preserve">Anwälten), Gerichten und Regulierungsbehörden betrachtet werden, da sie bei entsprechender Konzeption all diese drei Funktionen übernehmen </w:t>
      </w:r>
      <w:r w:rsidR="00B05799">
        <w:rPr>
          <w:rFonts w:ascii="Times New Roman" w:hAnsi="Times New Roman"/>
          <w:sz w:val="24"/>
        </w:rPr>
        <w:t>können</w:t>
      </w:r>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 xml:space="preserve">Damit </w:t>
      </w:r>
      <w:r w:rsidR="00A50607">
        <w:rPr>
          <w:rFonts w:ascii="Times New Roman" w:hAnsi="Times New Roman"/>
          <w:sz w:val="24"/>
        </w:rPr>
        <w:t>können erhebliche Kosten eingespart werden</w:t>
      </w:r>
      <w:r>
        <w:rPr>
          <w:rFonts w:ascii="Times New Roman" w:hAnsi="Times New Roman"/>
          <w:sz w:val="24"/>
        </w:rPr>
        <w:t xml:space="preserve"> im Vergleich zu</w:t>
      </w:r>
      <w:r w:rsidR="00A50607">
        <w:rPr>
          <w:rFonts w:ascii="Times New Roman" w:hAnsi="Times New Roman"/>
          <w:sz w:val="24"/>
        </w:rPr>
        <w:t>r</w:t>
      </w:r>
      <w:r>
        <w:rPr>
          <w:rFonts w:ascii="Times New Roman" w:hAnsi="Times New Roman"/>
          <w:sz w:val="24"/>
        </w:rPr>
        <w:t xml:space="preserve"> </w:t>
      </w:r>
      <w:r w:rsidR="00A50607">
        <w:rPr>
          <w:rFonts w:ascii="Times New Roman" w:hAnsi="Times New Roman"/>
          <w:sz w:val="24"/>
        </w:rPr>
        <w:t xml:space="preserve">Bereitstellung </w:t>
      </w:r>
      <w:r>
        <w:rPr>
          <w:rFonts w:ascii="Times New Roman" w:hAnsi="Times New Roman"/>
          <w:sz w:val="24"/>
        </w:rPr>
        <w:t>jede</w:t>
      </w:r>
      <w:r w:rsidR="00A50607">
        <w:rPr>
          <w:rFonts w:ascii="Times New Roman" w:hAnsi="Times New Roman"/>
          <w:sz w:val="24"/>
        </w:rPr>
        <w:t>r</w:t>
      </w:r>
      <w:r>
        <w:rPr>
          <w:rFonts w:ascii="Times New Roman" w:hAnsi="Times New Roman"/>
          <w:sz w:val="24"/>
        </w:rPr>
        <w:t xml:space="preserve"> einzelnen dieser drei Funktion</w:t>
      </w:r>
      <w:r w:rsidR="00A50607">
        <w:rPr>
          <w:rFonts w:ascii="Times New Roman" w:hAnsi="Times New Roman"/>
          <w:sz w:val="24"/>
        </w:rPr>
        <w:t>en durch unterschiedliche Institutionen</w:t>
      </w:r>
      <w:r>
        <w:rPr>
          <w:rFonts w:ascii="Times New Roman" w:hAnsi="Times New Roman"/>
          <w:sz w:val="24"/>
        </w:rPr>
        <w:t>.</w:t>
      </w:r>
      <w:proofErr w:type="gramEnd"/>
      <w:r>
        <w:rPr>
          <w:rFonts w:ascii="Times New Roman" w:hAnsi="Times New Roman"/>
          <w:sz w:val="24"/>
        </w:rPr>
        <w:t xml:space="preserve"> Es ist kein Zufall, dass die CDR-Gesetzgebung der EU von 2013 eine enge Zusammenarbeit zwischen den CDR-Institutionen und den Regulierungsbehörden fordert. </w:t>
      </w:r>
      <w:r>
        <w:rPr>
          <w:rStyle w:val="Funotenzeichen"/>
          <w:rFonts w:ascii="Times New Roman" w:hAnsi="Times New Roman"/>
          <w:sz w:val="24"/>
        </w:rPr>
        <w:footnoteReference w:id="14"/>
      </w:r>
      <w:r>
        <w:rPr>
          <w:rFonts w:ascii="Times New Roman" w:hAnsi="Times New Roman"/>
          <w:sz w:val="24"/>
        </w:rPr>
        <w:t xml:space="preserve"> Es ist außerdem möglich </w:t>
      </w:r>
      <w:r w:rsidR="00A50607">
        <w:rPr>
          <w:rFonts w:ascii="Times New Roman" w:hAnsi="Times New Roman"/>
          <w:sz w:val="24"/>
        </w:rPr>
        <w:t>fest</w:t>
      </w:r>
      <w:r>
        <w:rPr>
          <w:rFonts w:ascii="Times New Roman" w:hAnsi="Times New Roman"/>
          <w:sz w:val="24"/>
        </w:rPr>
        <w:t>zu</w:t>
      </w:r>
      <w:r w:rsidR="00A50607">
        <w:rPr>
          <w:rFonts w:ascii="Times New Roman" w:hAnsi="Times New Roman"/>
          <w:sz w:val="24"/>
        </w:rPr>
        <w:t>legen</w:t>
      </w:r>
      <w:r>
        <w:rPr>
          <w:rFonts w:ascii="Times New Roman" w:hAnsi="Times New Roman"/>
          <w:sz w:val="24"/>
        </w:rPr>
        <w:t xml:space="preserve">, dass die Kosten eines Ombuds-Systems, das diese drei Funktionen erfüllt, nicht zu Lasten der Öffentlichkeit gehen, sondern von den Händlern getragen und letztendlich an die Verbraucher weitergegeben werden. </w:t>
      </w:r>
      <w:proofErr w:type="gramStart"/>
      <w:r>
        <w:rPr>
          <w:rFonts w:ascii="Times New Roman" w:hAnsi="Times New Roman"/>
          <w:sz w:val="24"/>
        </w:rPr>
        <w:t>Diese Privatisierung der Kosten hat deutliche Vorteile.</w:t>
      </w:r>
      <w:proofErr w:type="gramEnd"/>
      <w:r>
        <w:rPr>
          <w:rFonts w:ascii="Times New Roman" w:hAnsi="Times New Roman"/>
          <w:sz w:val="24"/>
        </w:rPr>
        <w:t xml:space="preserve"> </w:t>
      </w:r>
      <w:proofErr w:type="gramStart"/>
      <w:r>
        <w:rPr>
          <w:rFonts w:ascii="Times New Roman" w:hAnsi="Times New Roman"/>
          <w:sz w:val="24"/>
        </w:rPr>
        <w:t xml:space="preserve">Es gibt verschiedene </w:t>
      </w:r>
      <w:r w:rsidR="00A50607">
        <w:rPr>
          <w:rFonts w:ascii="Times New Roman" w:hAnsi="Times New Roman"/>
          <w:sz w:val="24"/>
        </w:rPr>
        <w:t>Finanzier</w:t>
      </w:r>
      <w:r>
        <w:rPr>
          <w:rFonts w:ascii="Times New Roman" w:hAnsi="Times New Roman"/>
          <w:sz w:val="24"/>
        </w:rPr>
        <w:t>ungsmodelle.</w:t>
      </w:r>
      <w:proofErr w:type="gramEnd"/>
      <w:r>
        <w:rPr>
          <w:rFonts w:ascii="Times New Roman" w:hAnsi="Times New Roman"/>
          <w:sz w:val="24"/>
        </w:rPr>
        <w:t xml:space="preserve"> Ein Modell </w:t>
      </w:r>
      <w:proofErr w:type="gramStart"/>
      <w:r>
        <w:rPr>
          <w:rFonts w:ascii="Times New Roman" w:hAnsi="Times New Roman"/>
          <w:sz w:val="24"/>
        </w:rPr>
        <w:t>ist</w:t>
      </w:r>
      <w:proofErr w:type="gramEnd"/>
      <w:r>
        <w:rPr>
          <w:rFonts w:ascii="Times New Roman" w:hAnsi="Times New Roman"/>
          <w:sz w:val="24"/>
        </w:rPr>
        <w:t xml:space="preserve">, dass der Gesetzgeber von einem Branchenverband oder einer Gruppe von </w:t>
      </w:r>
      <w:r w:rsidR="00A50607">
        <w:rPr>
          <w:rFonts w:ascii="Times New Roman" w:hAnsi="Times New Roman"/>
          <w:sz w:val="24"/>
        </w:rPr>
        <w:t xml:space="preserve">Anbietern </w:t>
      </w:r>
      <w:r>
        <w:rPr>
          <w:rFonts w:ascii="Times New Roman" w:hAnsi="Times New Roman"/>
          <w:sz w:val="24"/>
        </w:rPr>
        <w:t xml:space="preserve">oder </w:t>
      </w:r>
      <w:r w:rsidR="00A50607">
        <w:rPr>
          <w:rFonts w:ascii="Times New Roman" w:hAnsi="Times New Roman"/>
          <w:sz w:val="24"/>
        </w:rPr>
        <w:t>e</w:t>
      </w:r>
      <w:r>
        <w:rPr>
          <w:rFonts w:ascii="Times New Roman" w:hAnsi="Times New Roman"/>
          <w:sz w:val="24"/>
        </w:rPr>
        <w:t>inzel</w:t>
      </w:r>
      <w:r w:rsidR="00A50607">
        <w:rPr>
          <w:rFonts w:ascii="Times New Roman" w:hAnsi="Times New Roman"/>
          <w:sz w:val="24"/>
        </w:rPr>
        <w:t>nen Anbietern</w:t>
      </w:r>
      <w:r>
        <w:rPr>
          <w:rFonts w:ascii="Times New Roman" w:hAnsi="Times New Roman"/>
          <w:sz w:val="24"/>
        </w:rPr>
        <w:t xml:space="preserve"> eine Umlage verlangt. </w:t>
      </w:r>
      <w:proofErr w:type="gramStart"/>
      <w:r>
        <w:rPr>
          <w:rFonts w:ascii="Times New Roman" w:hAnsi="Times New Roman"/>
          <w:sz w:val="24"/>
        </w:rPr>
        <w:t>Bei einem anderen Modell werden Finanzierung und Service-Level in Jahresverträgen vereinbart.</w:t>
      </w:r>
      <w:proofErr w:type="gramEnd"/>
    </w:p>
    <w:p w14:paraId="6752D798" w14:textId="39ED3D55" w:rsidR="00A50607" w:rsidRDefault="008D7367" w:rsidP="00921D92">
      <w:pPr>
        <w:spacing w:after="0" w:line="240" w:lineRule="auto"/>
        <w:ind w:firstLine="720"/>
        <w:jc w:val="both"/>
        <w:rPr>
          <w:rFonts w:ascii="Times New Roman" w:hAnsi="Times New Roman"/>
          <w:sz w:val="24"/>
        </w:rPr>
      </w:pPr>
      <w:proofErr w:type="gramStart"/>
      <w:r>
        <w:rPr>
          <w:rFonts w:ascii="Times New Roman" w:hAnsi="Times New Roman"/>
          <w:sz w:val="24"/>
        </w:rPr>
        <w:t xml:space="preserve">Verschiedene Eigenschaften der Ausgestaltung </w:t>
      </w:r>
      <w:r w:rsidR="00A50607">
        <w:rPr>
          <w:rFonts w:ascii="Times New Roman" w:hAnsi="Times New Roman"/>
          <w:sz w:val="24"/>
        </w:rPr>
        <w:t xml:space="preserve">werden </w:t>
      </w:r>
      <w:r>
        <w:rPr>
          <w:rFonts w:ascii="Times New Roman" w:hAnsi="Times New Roman"/>
          <w:sz w:val="24"/>
        </w:rPr>
        <w:t>dabei wichtig</w:t>
      </w:r>
      <w:r w:rsidR="00A50607">
        <w:rPr>
          <w:rFonts w:ascii="Times New Roman" w:hAnsi="Times New Roman"/>
          <w:sz w:val="24"/>
        </w:rPr>
        <w:t xml:space="preserve"> sein</w:t>
      </w:r>
      <w:r>
        <w:rPr>
          <w:rFonts w:ascii="Times New Roman" w:hAnsi="Times New Roman"/>
          <w:sz w:val="24"/>
        </w:rPr>
        <w:t>.</w:t>
      </w:r>
      <w:proofErr w:type="gramEnd"/>
      <w:r>
        <w:rPr>
          <w:rFonts w:ascii="Times New Roman" w:hAnsi="Times New Roman"/>
          <w:sz w:val="24"/>
        </w:rPr>
        <w:t xml:space="preserve"> </w:t>
      </w:r>
    </w:p>
    <w:p w14:paraId="78693B08" w14:textId="5D56B42D" w:rsidR="00A50607" w:rsidRPr="006813EC" w:rsidRDefault="008D7367" w:rsidP="006813EC">
      <w:pPr>
        <w:pStyle w:val="Listenabsatz"/>
        <w:numPr>
          <w:ilvl w:val="0"/>
          <w:numId w:val="10"/>
        </w:numPr>
        <w:spacing w:after="0" w:line="240" w:lineRule="auto"/>
        <w:jc w:val="both"/>
        <w:rPr>
          <w:rFonts w:ascii="Times New Roman" w:hAnsi="Times New Roman"/>
          <w:sz w:val="24"/>
        </w:rPr>
      </w:pPr>
      <w:r w:rsidRPr="006813EC">
        <w:rPr>
          <w:rFonts w:ascii="Times New Roman" w:hAnsi="Times New Roman"/>
          <w:sz w:val="24"/>
        </w:rPr>
        <w:t xml:space="preserve">Gibt es eine eindeutig identifizierbare Struktur, von der die Verbraucher Informationen und Beratung anfordern können? </w:t>
      </w:r>
    </w:p>
    <w:p w14:paraId="4B899774" w14:textId="624B1B6E" w:rsidR="00A50607" w:rsidRPr="006813EC" w:rsidRDefault="008D7367" w:rsidP="006813EC">
      <w:pPr>
        <w:pStyle w:val="Listenabsatz"/>
        <w:numPr>
          <w:ilvl w:val="0"/>
          <w:numId w:val="10"/>
        </w:numPr>
        <w:spacing w:after="0" w:line="240" w:lineRule="auto"/>
        <w:jc w:val="both"/>
        <w:rPr>
          <w:rFonts w:ascii="Times New Roman" w:hAnsi="Times New Roman"/>
          <w:sz w:val="24"/>
        </w:rPr>
      </w:pPr>
      <w:r w:rsidRPr="006813EC">
        <w:rPr>
          <w:rFonts w:ascii="Times New Roman" w:hAnsi="Times New Roman"/>
          <w:sz w:val="24"/>
        </w:rPr>
        <w:t xml:space="preserve">Können die Verbraucher einen CDR-Mechanismus eindeutig identifizieren und nutzen? </w:t>
      </w:r>
    </w:p>
    <w:p w14:paraId="7D4D3A0B" w14:textId="7668392D" w:rsidR="00A50607" w:rsidRPr="006813EC" w:rsidRDefault="008D7367" w:rsidP="006813EC">
      <w:pPr>
        <w:pStyle w:val="Listenabsatz"/>
        <w:numPr>
          <w:ilvl w:val="0"/>
          <w:numId w:val="10"/>
        </w:numPr>
        <w:spacing w:after="0" w:line="240" w:lineRule="auto"/>
        <w:jc w:val="both"/>
        <w:rPr>
          <w:rFonts w:ascii="Times New Roman" w:hAnsi="Times New Roman"/>
          <w:sz w:val="24"/>
        </w:rPr>
      </w:pPr>
      <w:r w:rsidRPr="006813EC">
        <w:rPr>
          <w:rFonts w:ascii="Times New Roman" w:hAnsi="Times New Roman"/>
          <w:sz w:val="24"/>
        </w:rPr>
        <w:t xml:space="preserve">Gelten für alle CDR-Systeme ähnliche Prozeduren unabhängig davon, wie viele CDR-Systeme in den einzelnen Sektoren als unabhängige juristische Institutionen existieren, und können sie Ansprüche intern weiterleiten, um den korrekten Ansprechpartner zu finden, eine Verwirrung der Verbraucher zu vermeiden und deren berechtigte Ansprüche nicht abzulehnen? </w:t>
      </w:r>
    </w:p>
    <w:p w14:paraId="509921B3" w14:textId="17667AF8" w:rsidR="008D7367" w:rsidRPr="006813EC" w:rsidRDefault="008D7367" w:rsidP="006813EC">
      <w:pPr>
        <w:pStyle w:val="Listenabsatz"/>
        <w:numPr>
          <w:ilvl w:val="0"/>
          <w:numId w:val="10"/>
        </w:numPr>
        <w:spacing w:after="0" w:line="240" w:lineRule="auto"/>
        <w:jc w:val="both"/>
        <w:rPr>
          <w:rFonts w:ascii="Times New Roman" w:hAnsi="Times New Roman" w:cs="Times New Roman"/>
          <w:sz w:val="24"/>
          <w:szCs w:val="24"/>
        </w:rPr>
      </w:pPr>
      <w:r w:rsidRPr="006813EC">
        <w:rPr>
          <w:rFonts w:ascii="Times New Roman" w:hAnsi="Times New Roman"/>
          <w:sz w:val="24"/>
        </w:rPr>
        <w:t>Können alle Daten zur Art der Probleme und zur Identität der Händler, die aus Anfragen oder Beschwerden erfasst werden, konsolidiert, veröffentlicht und an die Händler und Regulierungsbehörden weitergegeben werden?</w:t>
      </w:r>
    </w:p>
    <w:p w14:paraId="1DAEACA4" w14:textId="157ED651" w:rsidR="00DD3312" w:rsidRDefault="00DD3312"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Ein gutes Beispiel für einen ganzheitlichen Informationansatz im Internet und CDR ist die Belmed-Website der belgischen Behörden, </w:t>
      </w:r>
      <w:r>
        <w:rPr>
          <w:rStyle w:val="Funotenzeichen"/>
          <w:rFonts w:ascii="Times New Roman" w:hAnsi="Times New Roman"/>
          <w:sz w:val="24"/>
        </w:rPr>
        <w:footnoteReference w:id="15"/>
      </w:r>
      <w:r>
        <w:rPr>
          <w:rFonts w:ascii="Times New Roman" w:hAnsi="Times New Roman"/>
          <w:sz w:val="24"/>
        </w:rPr>
        <w:t xml:space="preserve"> die allerdings ab 2015 in den nationalen Verbraucher-Ombuds-Dienst integriert werden soll.</w:t>
      </w:r>
      <w:r>
        <w:rPr>
          <w:rStyle w:val="Funotenzeichen"/>
          <w:rFonts w:ascii="Times New Roman" w:hAnsi="Times New Roman"/>
          <w:sz w:val="24"/>
        </w:rPr>
        <w:footnoteReference w:id="16"/>
      </w:r>
      <w:r>
        <w:rPr>
          <w:rFonts w:ascii="Times New Roman" w:hAnsi="Times New Roman"/>
          <w:sz w:val="24"/>
        </w:rPr>
        <w:t xml:space="preserve"> Die Veröffentlichung von Daten </w:t>
      </w:r>
      <w:proofErr w:type="gramStart"/>
      <w:r>
        <w:rPr>
          <w:rFonts w:ascii="Times New Roman" w:hAnsi="Times New Roman"/>
          <w:sz w:val="24"/>
        </w:rPr>
        <w:t>ist</w:t>
      </w:r>
      <w:proofErr w:type="gramEnd"/>
      <w:r>
        <w:rPr>
          <w:rFonts w:ascii="Times New Roman" w:hAnsi="Times New Roman"/>
          <w:sz w:val="24"/>
        </w:rPr>
        <w:t xml:space="preserve"> heute bei den Ombuds</w:t>
      </w:r>
      <w:r w:rsidR="00A50607">
        <w:rPr>
          <w:rFonts w:ascii="Times New Roman" w:hAnsi="Times New Roman"/>
          <w:sz w:val="24"/>
        </w:rPr>
        <w:t>stellen</w:t>
      </w:r>
      <w:r>
        <w:rPr>
          <w:rFonts w:ascii="Times New Roman" w:hAnsi="Times New Roman"/>
          <w:sz w:val="24"/>
        </w:rPr>
        <w:t xml:space="preserve"> in Großbritannien Standard, nicht jedoch bei einigen Schiedsgerichtssystemen. Eine umfassende Verdichtung von Daten </w:t>
      </w:r>
      <w:proofErr w:type="gramStart"/>
      <w:r>
        <w:rPr>
          <w:rFonts w:ascii="Times New Roman" w:hAnsi="Times New Roman"/>
          <w:sz w:val="24"/>
        </w:rPr>
        <w:t>ist</w:t>
      </w:r>
      <w:proofErr w:type="gramEnd"/>
      <w:r>
        <w:rPr>
          <w:rFonts w:ascii="Times New Roman" w:hAnsi="Times New Roman"/>
          <w:sz w:val="24"/>
        </w:rPr>
        <w:t xml:space="preserve"> bei den nationalen CDR-Systemen der nordischen Staaten möglich, </w:t>
      </w:r>
      <w:r w:rsidR="00A50607">
        <w:rPr>
          <w:rFonts w:ascii="Times New Roman" w:hAnsi="Times New Roman"/>
          <w:sz w:val="24"/>
        </w:rPr>
        <w:t xml:space="preserve">schließt aber nicht </w:t>
      </w:r>
      <w:r>
        <w:rPr>
          <w:rFonts w:ascii="Times New Roman" w:hAnsi="Times New Roman"/>
          <w:sz w:val="24"/>
        </w:rPr>
        <w:t xml:space="preserve">die Daten </w:t>
      </w:r>
      <w:r w:rsidR="00A50607">
        <w:rPr>
          <w:rFonts w:ascii="Times New Roman" w:hAnsi="Times New Roman"/>
          <w:sz w:val="24"/>
        </w:rPr>
        <w:t>aus den davon getrennten</w:t>
      </w:r>
      <w:r>
        <w:rPr>
          <w:rFonts w:ascii="Times New Roman" w:hAnsi="Times New Roman"/>
          <w:sz w:val="24"/>
        </w:rPr>
        <w:t xml:space="preserve"> Branchen</w:t>
      </w:r>
      <w:r w:rsidR="00A50607">
        <w:rPr>
          <w:rFonts w:ascii="Times New Roman" w:hAnsi="Times New Roman"/>
          <w:sz w:val="24"/>
        </w:rPr>
        <w:t>systemen ein</w:t>
      </w:r>
      <w:r>
        <w:rPr>
          <w:rFonts w:ascii="Times New Roman" w:hAnsi="Times New Roman"/>
          <w:sz w:val="24"/>
        </w:rPr>
        <w:t>. Fortschritte in diesem Bereich könnte</w:t>
      </w:r>
      <w:r w:rsidR="00A50607">
        <w:rPr>
          <w:rFonts w:ascii="Times New Roman" w:hAnsi="Times New Roman"/>
          <w:sz w:val="24"/>
        </w:rPr>
        <w:t>n</w:t>
      </w:r>
      <w:r>
        <w:rPr>
          <w:rFonts w:ascii="Times New Roman" w:hAnsi="Times New Roman"/>
          <w:sz w:val="24"/>
        </w:rPr>
        <w:t xml:space="preserve"> eine </w:t>
      </w:r>
      <w:r w:rsidR="00A50607">
        <w:rPr>
          <w:rFonts w:ascii="Times New Roman" w:hAnsi="Times New Roman"/>
          <w:sz w:val="24"/>
        </w:rPr>
        <w:t xml:space="preserve">positive </w:t>
      </w:r>
      <w:r>
        <w:rPr>
          <w:rFonts w:ascii="Times New Roman" w:hAnsi="Times New Roman"/>
          <w:sz w:val="24"/>
        </w:rPr>
        <w:t>Markt</w:t>
      </w:r>
      <w:r w:rsidR="00A50607">
        <w:rPr>
          <w:rFonts w:ascii="Times New Roman" w:hAnsi="Times New Roman"/>
          <w:sz w:val="24"/>
        </w:rPr>
        <w:t>kultur</w:t>
      </w:r>
      <w:r>
        <w:rPr>
          <w:rFonts w:ascii="Times New Roman" w:hAnsi="Times New Roman"/>
          <w:sz w:val="24"/>
        </w:rPr>
        <w:t xml:space="preserve"> enorm </w:t>
      </w:r>
      <w:r w:rsidR="00A50607">
        <w:rPr>
          <w:rFonts w:ascii="Times New Roman" w:hAnsi="Times New Roman"/>
          <w:sz w:val="24"/>
        </w:rPr>
        <w:t>verbess</w:t>
      </w:r>
      <w:r>
        <w:rPr>
          <w:rFonts w:ascii="Times New Roman" w:hAnsi="Times New Roman"/>
          <w:sz w:val="24"/>
        </w:rPr>
        <w:t>e</w:t>
      </w:r>
      <w:r w:rsidR="00A50607">
        <w:rPr>
          <w:rFonts w:ascii="Times New Roman" w:hAnsi="Times New Roman"/>
          <w:sz w:val="24"/>
        </w:rPr>
        <w:t>r</w:t>
      </w:r>
      <w:r>
        <w:rPr>
          <w:rFonts w:ascii="Times New Roman" w:hAnsi="Times New Roman"/>
          <w:sz w:val="24"/>
        </w:rPr>
        <w:t xml:space="preserve">n und die Wirtschaftsleistung steigern. Haben die Mitgliedsstaaten </w:t>
      </w:r>
      <w:proofErr w:type="gramStart"/>
      <w:r>
        <w:rPr>
          <w:rFonts w:ascii="Times New Roman" w:hAnsi="Times New Roman"/>
          <w:sz w:val="24"/>
        </w:rPr>
        <w:t>erkannt,</w:t>
      </w:r>
      <w:proofErr w:type="gramEnd"/>
      <w:r>
        <w:rPr>
          <w:rFonts w:ascii="Times New Roman" w:hAnsi="Times New Roman"/>
          <w:sz w:val="24"/>
        </w:rPr>
        <w:t xml:space="preserve"> dass CDR die Wirtschaftsleistung verbessern kann – wenn das System korrekt konzipiert und </w:t>
      </w:r>
      <w:r w:rsidR="003D1688">
        <w:rPr>
          <w:rFonts w:ascii="Times New Roman" w:hAnsi="Times New Roman"/>
          <w:sz w:val="24"/>
        </w:rPr>
        <w:t>funktional mit den a</w:t>
      </w:r>
      <w:r>
        <w:rPr>
          <w:rFonts w:ascii="Times New Roman" w:hAnsi="Times New Roman"/>
          <w:sz w:val="24"/>
        </w:rPr>
        <w:t>ufsicht</w:t>
      </w:r>
      <w:r w:rsidR="003D1688">
        <w:rPr>
          <w:rFonts w:ascii="Times New Roman" w:hAnsi="Times New Roman"/>
          <w:sz w:val="24"/>
        </w:rPr>
        <w:t>sführenden</w:t>
      </w:r>
      <w:r>
        <w:rPr>
          <w:rFonts w:ascii="Times New Roman" w:hAnsi="Times New Roman"/>
          <w:sz w:val="24"/>
        </w:rPr>
        <w:t xml:space="preserve"> Regulierungsbehörden </w:t>
      </w:r>
      <w:r w:rsidR="003D1688">
        <w:rPr>
          <w:rFonts w:ascii="Times New Roman" w:hAnsi="Times New Roman"/>
          <w:sz w:val="24"/>
        </w:rPr>
        <w:t xml:space="preserve">zusammengebracht </w:t>
      </w:r>
      <w:r>
        <w:rPr>
          <w:rFonts w:ascii="Times New Roman" w:hAnsi="Times New Roman"/>
          <w:sz w:val="24"/>
        </w:rPr>
        <w:t>wird?</w:t>
      </w:r>
    </w:p>
    <w:p w14:paraId="5121D689" w14:textId="77777777" w:rsidR="00402EAF" w:rsidRDefault="00402EAF" w:rsidP="00E77015">
      <w:pPr>
        <w:spacing w:after="0" w:line="240" w:lineRule="auto"/>
        <w:jc w:val="both"/>
        <w:rPr>
          <w:rFonts w:ascii="Times New Roman" w:hAnsi="Times New Roman" w:cs="Times New Roman"/>
          <w:sz w:val="24"/>
          <w:szCs w:val="24"/>
        </w:rPr>
      </w:pPr>
    </w:p>
    <w:p w14:paraId="1A302023" w14:textId="77777777" w:rsidR="00402EAF" w:rsidRDefault="00402EAF" w:rsidP="00E77015">
      <w:pPr>
        <w:spacing w:after="0" w:line="240" w:lineRule="auto"/>
        <w:jc w:val="both"/>
        <w:rPr>
          <w:rFonts w:ascii="Times New Roman" w:hAnsi="Times New Roman" w:cs="Times New Roman"/>
          <w:sz w:val="24"/>
          <w:szCs w:val="24"/>
        </w:rPr>
      </w:pPr>
    </w:p>
    <w:p w14:paraId="434D9470" w14:textId="77777777" w:rsidR="0007430C" w:rsidRPr="0007430C" w:rsidRDefault="0007430C" w:rsidP="003B7C50">
      <w:pPr>
        <w:spacing w:after="0" w:line="240" w:lineRule="auto"/>
        <w:jc w:val="center"/>
        <w:rPr>
          <w:rFonts w:ascii="Times New Roman" w:hAnsi="Times New Roman" w:cs="Times New Roman"/>
          <w:b/>
          <w:sz w:val="24"/>
          <w:szCs w:val="24"/>
        </w:rPr>
      </w:pPr>
      <w:r>
        <w:rPr>
          <w:rFonts w:ascii="Times New Roman" w:hAnsi="Times New Roman"/>
          <w:b/>
          <w:sz w:val="24"/>
        </w:rPr>
        <w:lastRenderedPageBreak/>
        <w:t>Beispiel für ein ganzheitliches Regulierungssystem</w:t>
      </w:r>
    </w:p>
    <w:p w14:paraId="12446F99" w14:textId="77777777" w:rsidR="0007430C" w:rsidRDefault="0007430C" w:rsidP="0007430C">
      <w:pPr>
        <w:spacing w:after="0" w:line="240" w:lineRule="auto"/>
        <w:jc w:val="both"/>
        <w:rPr>
          <w:rFonts w:ascii="Times New Roman" w:hAnsi="Times New Roman" w:cs="Times New Roman"/>
          <w:sz w:val="24"/>
          <w:szCs w:val="24"/>
        </w:rPr>
      </w:pPr>
    </w:p>
    <w:p w14:paraId="6679EB10" w14:textId="24A25F34" w:rsidR="00783370" w:rsidRDefault="002F7420" w:rsidP="0007430C">
      <w:pPr>
        <w:spacing w:after="0" w:line="240" w:lineRule="auto"/>
        <w:jc w:val="both"/>
        <w:rPr>
          <w:rFonts w:ascii="Times New Roman" w:hAnsi="Times New Roman" w:cs="Times New Roman"/>
          <w:sz w:val="24"/>
          <w:szCs w:val="24"/>
        </w:rPr>
      </w:pPr>
      <w:proofErr w:type="gramStart"/>
      <w:r>
        <w:rPr>
          <w:rFonts w:ascii="Times New Roman" w:hAnsi="Times New Roman"/>
          <w:sz w:val="24"/>
        </w:rPr>
        <w:t>Zuvor im Text wurde darauf hingewiesen, dass Ombuds</w:t>
      </w:r>
      <w:r w:rsidR="003D1688">
        <w:rPr>
          <w:rFonts w:ascii="Times New Roman" w:hAnsi="Times New Roman"/>
          <w:sz w:val="24"/>
        </w:rPr>
        <w:t>stellen</w:t>
      </w:r>
      <w:r>
        <w:rPr>
          <w:rFonts w:ascii="Times New Roman" w:hAnsi="Times New Roman"/>
          <w:sz w:val="24"/>
        </w:rPr>
        <w:t xml:space="preserve"> besonders wirksam sein können, wenn sie mit Regulierungs- und </w:t>
      </w:r>
      <w:r w:rsidR="003D1688">
        <w:rPr>
          <w:rFonts w:ascii="Times New Roman" w:hAnsi="Times New Roman"/>
          <w:sz w:val="24"/>
        </w:rPr>
        <w:t>Ordn</w:t>
      </w:r>
      <w:r>
        <w:rPr>
          <w:rFonts w:ascii="Times New Roman" w:hAnsi="Times New Roman"/>
          <w:sz w:val="24"/>
        </w:rPr>
        <w:t>ungsbehörden zusammenarbeiten.</w:t>
      </w:r>
      <w:proofErr w:type="gramEnd"/>
      <w:r>
        <w:rPr>
          <w:rFonts w:ascii="Times New Roman" w:hAnsi="Times New Roman"/>
          <w:sz w:val="24"/>
        </w:rPr>
        <w:t xml:space="preserve"> </w:t>
      </w:r>
      <w:proofErr w:type="gramStart"/>
      <w:r>
        <w:rPr>
          <w:rFonts w:ascii="Times New Roman" w:hAnsi="Times New Roman"/>
          <w:sz w:val="24"/>
        </w:rPr>
        <w:t xml:space="preserve">Es kann hilfreich sein zu überlegen, wie diese Kombination in der Praxis </w:t>
      </w:r>
      <w:r w:rsidR="003D1688">
        <w:rPr>
          <w:rFonts w:ascii="Times New Roman" w:hAnsi="Times New Roman"/>
          <w:sz w:val="24"/>
        </w:rPr>
        <w:t>funktionieren</w:t>
      </w:r>
      <w:r>
        <w:rPr>
          <w:rFonts w:ascii="Times New Roman" w:hAnsi="Times New Roman"/>
          <w:sz w:val="24"/>
        </w:rPr>
        <w:t xml:space="preserve"> kann.</w:t>
      </w:r>
      <w:proofErr w:type="gramEnd"/>
      <w:r>
        <w:rPr>
          <w:rFonts w:ascii="Times New Roman" w:hAnsi="Times New Roman"/>
          <w:sz w:val="24"/>
        </w:rPr>
        <w:t xml:space="preserve"> </w:t>
      </w:r>
      <w:proofErr w:type="gramStart"/>
      <w:r>
        <w:rPr>
          <w:rFonts w:ascii="Times New Roman" w:hAnsi="Times New Roman"/>
          <w:sz w:val="24"/>
        </w:rPr>
        <w:t>Im Folgenden ein Beispiel, wie ein ganzheitliches System aus Ombuds</w:t>
      </w:r>
      <w:r w:rsidR="003D1688">
        <w:rPr>
          <w:rFonts w:ascii="Times New Roman" w:hAnsi="Times New Roman"/>
          <w:sz w:val="24"/>
        </w:rPr>
        <w:t>stellen</w:t>
      </w:r>
      <w:r>
        <w:rPr>
          <w:rFonts w:ascii="Times New Roman" w:hAnsi="Times New Roman"/>
          <w:sz w:val="24"/>
        </w:rPr>
        <w:t xml:space="preserve"> und Regulierungsbehörden funktionieren sollte.</w:t>
      </w:r>
      <w:proofErr w:type="gramEnd"/>
      <w:r>
        <w:rPr>
          <w:rFonts w:ascii="Times New Roman" w:hAnsi="Times New Roman"/>
          <w:sz w:val="24"/>
        </w:rPr>
        <w:t xml:space="preserve"> Es zeigt, was </w:t>
      </w:r>
      <w:r w:rsidR="003D1688">
        <w:rPr>
          <w:rFonts w:ascii="Times New Roman" w:hAnsi="Times New Roman"/>
          <w:sz w:val="24"/>
        </w:rPr>
        <w:t xml:space="preserve">getan werden sollte, wenn sich </w:t>
      </w:r>
      <w:r>
        <w:rPr>
          <w:rFonts w:ascii="Times New Roman" w:hAnsi="Times New Roman"/>
          <w:sz w:val="24"/>
        </w:rPr>
        <w:t>beispielsweise ei</w:t>
      </w:r>
      <w:r w:rsidR="003D1688">
        <w:rPr>
          <w:rFonts w:ascii="Times New Roman" w:hAnsi="Times New Roman"/>
          <w:sz w:val="24"/>
        </w:rPr>
        <w:t>n</w:t>
      </w:r>
      <w:r>
        <w:rPr>
          <w:rFonts w:ascii="Times New Roman" w:hAnsi="Times New Roman"/>
          <w:sz w:val="24"/>
        </w:rPr>
        <w:t xml:space="preserve"> massive</w:t>
      </w:r>
      <w:r w:rsidR="003D1688">
        <w:rPr>
          <w:rFonts w:ascii="Times New Roman" w:hAnsi="Times New Roman"/>
          <w:sz w:val="24"/>
        </w:rPr>
        <w:t>r</w:t>
      </w:r>
      <w:r>
        <w:rPr>
          <w:rFonts w:ascii="Times New Roman" w:hAnsi="Times New Roman"/>
          <w:sz w:val="24"/>
        </w:rPr>
        <w:t xml:space="preserve"> Verkauf von Restschuldversicherungen (RSV) </w:t>
      </w:r>
      <w:proofErr w:type="gramStart"/>
      <w:r>
        <w:rPr>
          <w:rFonts w:ascii="Times New Roman" w:hAnsi="Times New Roman"/>
          <w:sz w:val="24"/>
        </w:rPr>
        <w:t>an</w:t>
      </w:r>
      <w:proofErr w:type="gramEnd"/>
      <w:r>
        <w:rPr>
          <w:rFonts w:ascii="Times New Roman" w:hAnsi="Times New Roman"/>
          <w:sz w:val="24"/>
        </w:rPr>
        <w:t xml:space="preserve"> die falsche Zielgruppe in Großbritannien </w:t>
      </w:r>
      <w:r w:rsidR="003D1688">
        <w:rPr>
          <w:rFonts w:ascii="Times New Roman" w:hAnsi="Times New Roman"/>
          <w:sz w:val="24"/>
        </w:rPr>
        <w:t xml:space="preserve">wiederholen </w:t>
      </w:r>
      <w:r>
        <w:rPr>
          <w:rFonts w:ascii="Times New Roman" w:hAnsi="Times New Roman"/>
          <w:sz w:val="24"/>
        </w:rPr>
        <w:t xml:space="preserve">sollte. </w:t>
      </w:r>
    </w:p>
    <w:p w14:paraId="6E3BC4A3" w14:textId="0560F0F7" w:rsidR="00783370" w:rsidRDefault="0007430C"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Es </w:t>
      </w:r>
      <w:proofErr w:type="gramStart"/>
      <w:r>
        <w:rPr>
          <w:rFonts w:ascii="Times New Roman" w:hAnsi="Times New Roman"/>
          <w:sz w:val="24"/>
        </w:rPr>
        <w:t>ist</w:t>
      </w:r>
      <w:proofErr w:type="gramEnd"/>
      <w:r>
        <w:rPr>
          <w:rFonts w:ascii="Times New Roman" w:hAnsi="Times New Roman"/>
          <w:sz w:val="24"/>
        </w:rPr>
        <w:t xml:space="preserve"> allgemein bekannt, dass der Verkauf von Restschuldversicherungen an die falsche Zielgruppe einen der größten Finanzskandale in Großbritannien darstellte.</w:t>
      </w:r>
      <w:r>
        <w:rPr>
          <w:rStyle w:val="Funotenzeichen"/>
          <w:rFonts w:ascii="Times New Roman" w:hAnsi="Times New Roman"/>
          <w:sz w:val="24"/>
        </w:rPr>
        <w:footnoteReference w:id="17"/>
      </w:r>
      <w:r>
        <w:rPr>
          <w:rFonts w:ascii="Times New Roman" w:hAnsi="Times New Roman"/>
          <w:sz w:val="24"/>
        </w:rPr>
        <w:t xml:space="preserve"> Während der letzten Dekade existierten verschiedene Elemente eines ganzheitlichen Mechanismus, die jedoch nicht zusammengefügt wurden: Sie sollten jetzt wie im Folgenden beschrieben funktionieren. Der Financial Ombudsman Service (FOS) würde identifizieren, dass sich ein neuer Trend (der Verkauf von RSVs </w:t>
      </w:r>
      <w:proofErr w:type="gramStart"/>
      <w:r>
        <w:rPr>
          <w:rFonts w:ascii="Times New Roman" w:hAnsi="Times New Roman"/>
          <w:sz w:val="24"/>
        </w:rPr>
        <w:t>an</w:t>
      </w:r>
      <w:proofErr w:type="gramEnd"/>
      <w:r>
        <w:rPr>
          <w:rFonts w:ascii="Times New Roman" w:hAnsi="Times New Roman"/>
          <w:sz w:val="24"/>
        </w:rPr>
        <w:t xml:space="preserve"> die falsche Zielgruppe) entwickelt. Er würde die Banken, die Regulierungsbehörde (in diesem Fall die Financial Conduct Authority [FCA]), </w:t>
      </w:r>
      <w:proofErr w:type="gramStart"/>
      <w:r>
        <w:rPr>
          <w:rFonts w:ascii="Times New Roman" w:hAnsi="Times New Roman"/>
          <w:sz w:val="24"/>
        </w:rPr>
        <w:t>die</w:t>
      </w:r>
      <w:proofErr w:type="gramEnd"/>
      <w:r>
        <w:rPr>
          <w:rFonts w:ascii="Times New Roman" w:hAnsi="Times New Roman"/>
          <w:sz w:val="24"/>
        </w:rPr>
        <w:t xml:space="preserve"> Verbraucher und die Medien informieren. </w:t>
      </w:r>
      <w:r>
        <w:rPr>
          <w:rStyle w:val="Funotenzeichen"/>
          <w:rFonts w:ascii="Times New Roman" w:hAnsi="Times New Roman"/>
          <w:sz w:val="24"/>
        </w:rPr>
        <w:footnoteReference w:id="18"/>
      </w:r>
      <w:r>
        <w:rPr>
          <w:rFonts w:ascii="Times New Roman" w:hAnsi="Times New Roman"/>
          <w:sz w:val="24"/>
        </w:rPr>
        <w:t xml:space="preserve"> Ein negatives Bild in der Öffentlichkeit durch Medien und Verbraucherverbände kann das Image einzelner </w:t>
      </w:r>
      <w:r w:rsidR="003D1688">
        <w:rPr>
          <w:rFonts w:ascii="Times New Roman" w:hAnsi="Times New Roman"/>
          <w:sz w:val="24"/>
        </w:rPr>
        <w:t xml:space="preserve">Anbieter </w:t>
      </w:r>
      <w:r>
        <w:rPr>
          <w:rFonts w:ascii="Times New Roman" w:hAnsi="Times New Roman"/>
          <w:sz w:val="24"/>
        </w:rPr>
        <w:t xml:space="preserve">beeinträchtigen; Verbraucher, die ihren Anbieter wechseln oder ihr Einkaufsverhalten ändern, können die Absatzstrategien der </w:t>
      </w:r>
      <w:r w:rsidR="003D1688">
        <w:rPr>
          <w:rFonts w:ascii="Times New Roman" w:hAnsi="Times New Roman"/>
          <w:sz w:val="24"/>
        </w:rPr>
        <w:t xml:space="preserve">Anbieter </w:t>
      </w:r>
      <w:r>
        <w:rPr>
          <w:rFonts w:ascii="Times New Roman" w:hAnsi="Times New Roman"/>
          <w:sz w:val="24"/>
        </w:rPr>
        <w:t xml:space="preserve">beeinflussen. Die FCA würde signifikante Probleme untersuchen sowie Regeländerungen und Maßnahmen der Regulierungsbehörden veranlassen. In diesem </w:t>
      </w:r>
      <w:proofErr w:type="gramStart"/>
      <w:r>
        <w:rPr>
          <w:rFonts w:ascii="Times New Roman" w:hAnsi="Times New Roman"/>
          <w:sz w:val="24"/>
        </w:rPr>
        <w:t>Fall</w:t>
      </w:r>
      <w:proofErr w:type="gramEnd"/>
      <w:r>
        <w:rPr>
          <w:rFonts w:ascii="Times New Roman" w:hAnsi="Times New Roman"/>
          <w:sz w:val="24"/>
        </w:rPr>
        <w:t xml:space="preserve"> ist es wichtig, dass die Regulierungsbehörde über eine breite Palette von effektiven Vollmachten zur Durchsetzung verfügt (wobei sie selbst durch Transparenz-, Governance- und Kontrollmechanismen kontrolliert wird). </w:t>
      </w:r>
    </w:p>
    <w:p w14:paraId="05F39CC7" w14:textId="3EDF5A7D" w:rsidR="00783370" w:rsidRDefault="00D77965"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Die </w:t>
      </w:r>
      <w:r w:rsidR="003D1688">
        <w:rPr>
          <w:rFonts w:ascii="Times New Roman" w:hAnsi="Times New Roman"/>
          <w:sz w:val="24"/>
        </w:rPr>
        <w:t xml:space="preserve">für die Rechtsdurchsetzung verantwortlichen </w:t>
      </w:r>
      <w:r>
        <w:rPr>
          <w:rFonts w:ascii="Times New Roman" w:hAnsi="Times New Roman"/>
          <w:sz w:val="24"/>
        </w:rPr>
        <w:t>Behörden in Dänemark und Großbritannien verfügen jetzt nicht nur über die Vollmachten zu Untersuchungen, zu einstweilige</w:t>
      </w:r>
      <w:r w:rsidR="003D1688">
        <w:rPr>
          <w:rFonts w:ascii="Times New Roman" w:hAnsi="Times New Roman"/>
          <w:sz w:val="24"/>
        </w:rPr>
        <w:t>n</w:t>
      </w:r>
      <w:r>
        <w:rPr>
          <w:rFonts w:ascii="Times New Roman" w:hAnsi="Times New Roman"/>
          <w:sz w:val="24"/>
        </w:rPr>
        <w:t xml:space="preserve"> </w:t>
      </w:r>
      <w:r w:rsidR="003D1688">
        <w:rPr>
          <w:rFonts w:ascii="Times New Roman" w:hAnsi="Times New Roman"/>
          <w:sz w:val="24"/>
        </w:rPr>
        <w:t xml:space="preserve">Anordnungen </w:t>
      </w:r>
      <w:r>
        <w:rPr>
          <w:rFonts w:ascii="Times New Roman" w:hAnsi="Times New Roman"/>
          <w:sz w:val="24"/>
        </w:rPr>
        <w:t>und zur Vera</w:t>
      </w:r>
      <w:r w:rsidR="00EE3D0F">
        <w:rPr>
          <w:rFonts w:ascii="Times New Roman" w:hAnsi="Times New Roman"/>
          <w:sz w:val="24"/>
        </w:rPr>
        <w:t>nlass</w:t>
      </w:r>
      <w:r>
        <w:rPr>
          <w:rFonts w:ascii="Times New Roman" w:hAnsi="Times New Roman"/>
          <w:sz w:val="24"/>
        </w:rPr>
        <w:t>ung von Änderungen oder Sanktionen</w:t>
      </w:r>
      <w:r w:rsidR="00EE3D0F">
        <w:rPr>
          <w:rFonts w:ascii="Times New Roman" w:hAnsi="Times New Roman"/>
          <w:sz w:val="24"/>
        </w:rPr>
        <w:t>, sondern auch über die Kompetenz, gerichtliche Entscheidungen zu individueller oder kollektiver finanzieller Wiedergutmachung zu erwirken</w:t>
      </w:r>
      <w:r>
        <w:rPr>
          <w:rFonts w:ascii="Times New Roman" w:hAnsi="Times New Roman"/>
          <w:sz w:val="24"/>
        </w:rPr>
        <w:t>.</w:t>
      </w:r>
      <w:r>
        <w:rPr>
          <w:rStyle w:val="Funotenzeichen"/>
          <w:rFonts w:ascii="Times New Roman" w:hAnsi="Times New Roman"/>
          <w:sz w:val="24"/>
        </w:rPr>
        <w:footnoteReference w:id="19"/>
      </w:r>
      <w:r>
        <w:rPr>
          <w:rFonts w:ascii="Times New Roman" w:hAnsi="Times New Roman"/>
          <w:sz w:val="24"/>
        </w:rPr>
        <w:t xml:space="preserve"> Es wurde festgestellt, dass die Fälle selten zu Gericht gehen, da </w:t>
      </w:r>
      <w:r w:rsidR="00EE3D0F">
        <w:rPr>
          <w:rFonts w:ascii="Times New Roman" w:hAnsi="Times New Roman"/>
          <w:sz w:val="24"/>
        </w:rPr>
        <w:t xml:space="preserve">bei klarer zutageliegenden Informationen über Rechtsverletzungen in Verbindung mit der Fähigkeit der Behörden, im Lichte ihrer umfassenden Vollmachten “sanfte Überzeugungsarbeit zu leisten, </w:t>
      </w:r>
      <w:r>
        <w:rPr>
          <w:rFonts w:ascii="Times New Roman" w:hAnsi="Times New Roman"/>
          <w:sz w:val="24"/>
        </w:rPr>
        <w:t xml:space="preserve">Vergleiche erreicht werden, in denen </w:t>
      </w:r>
      <w:r>
        <w:rPr>
          <w:rFonts w:ascii="Times New Roman" w:hAnsi="Times New Roman"/>
          <w:i/>
          <w:sz w:val="24"/>
        </w:rPr>
        <w:t>alle</w:t>
      </w:r>
      <w:r w:rsidR="008803BC">
        <w:rPr>
          <w:rFonts w:ascii="Times New Roman" w:hAnsi="Times New Roman"/>
          <w:i/>
          <w:sz w:val="24"/>
        </w:rPr>
        <w:t xml:space="preserve"> </w:t>
      </w:r>
      <w:r>
        <w:rPr>
          <w:rFonts w:ascii="Times New Roman" w:hAnsi="Times New Roman"/>
          <w:sz w:val="24"/>
        </w:rPr>
        <w:t xml:space="preserve">Aspekte geklärt sind (in der Regel verpflichtet sich der Händler, illegale Aktivitäten einzustellen, interne Änderungen einzuführen und Entschädigung zu leisten, kombiniert mit der Einführung interner oder öffentlicher Sanktionen). In Dänemark und Großbritannien gibt es in verschiedenen Branchen eine Reihe von Beispielen für solche ausgehandelten </w:t>
      </w:r>
      <w:proofErr w:type="gramStart"/>
      <w:r>
        <w:rPr>
          <w:rFonts w:ascii="Times New Roman" w:hAnsi="Times New Roman"/>
          <w:sz w:val="24"/>
        </w:rPr>
        <w:t>oder</w:t>
      </w:r>
      <w:proofErr w:type="gramEnd"/>
      <w:r>
        <w:rPr>
          <w:rFonts w:ascii="Times New Roman" w:hAnsi="Times New Roman"/>
          <w:sz w:val="24"/>
        </w:rPr>
        <w:t xml:space="preserve"> </w:t>
      </w:r>
      <w:r w:rsidR="00EE3D0F">
        <w:rPr>
          <w:rFonts w:ascii="Times New Roman" w:hAnsi="Times New Roman"/>
          <w:sz w:val="24"/>
        </w:rPr>
        <w:t xml:space="preserve">gar </w:t>
      </w:r>
      <w:r>
        <w:rPr>
          <w:rFonts w:ascii="Times New Roman" w:hAnsi="Times New Roman"/>
          <w:sz w:val="24"/>
        </w:rPr>
        <w:lastRenderedPageBreak/>
        <w:t xml:space="preserve">freiwilligen Vereinbarungen. In manchen Absprachen zur Zahlung von Wiedergutmachung verpflichten sich die Händler, ihre Bücher zu prüfen bzw. Kunden zu kontaktieren (oder diese Maßnahme auszulagern) und die Kunden freiwillig zu entschädigen, denen zu viel berechnet wurde </w:t>
      </w:r>
      <w:proofErr w:type="gramStart"/>
      <w:r>
        <w:rPr>
          <w:rFonts w:ascii="Times New Roman" w:hAnsi="Times New Roman"/>
          <w:sz w:val="24"/>
        </w:rPr>
        <w:t>oder</w:t>
      </w:r>
      <w:proofErr w:type="gramEnd"/>
      <w:r>
        <w:rPr>
          <w:rFonts w:ascii="Times New Roman" w:hAnsi="Times New Roman"/>
          <w:sz w:val="24"/>
        </w:rPr>
        <w:t xml:space="preserve"> die in anderer Weise geschädigt worden sind. Die Regulierungsbehörde kann solche Vereinbarungen kontrollieren; Audits durch die FCA haben sowohl zu Strafverfolgungen wegen Nichteinhaltung der Verpflichtung </w:t>
      </w:r>
      <w:proofErr w:type="gramStart"/>
      <w:r>
        <w:rPr>
          <w:rFonts w:ascii="Times New Roman" w:hAnsi="Times New Roman"/>
          <w:sz w:val="24"/>
        </w:rPr>
        <w:t>als</w:t>
      </w:r>
      <w:proofErr w:type="gramEnd"/>
      <w:r>
        <w:rPr>
          <w:rFonts w:ascii="Times New Roman" w:hAnsi="Times New Roman"/>
          <w:sz w:val="24"/>
        </w:rPr>
        <w:t xml:space="preserve"> auch zu Forderungen nach </w:t>
      </w:r>
      <w:r w:rsidR="00EE3D0F">
        <w:rPr>
          <w:rFonts w:ascii="Times New Roman" w:hAnsi="Times New Roman"/>
          <w:sz w:val="24"/>
        </w:rPr>
        <w:t xml:space="preserve">ordnungsgemäßer </w:t>
      </w:r>
      <w:r>
        <w:rPr>
          <w:rFonts w:ascii="Times New Roman" w:hAnsi="Times New Roman"/>
          <w:sz w:val="24"/>
        </w:rPr>
        <w:t xml:space="preserve">Wiederholung des Prozesses geführt. </w:t>
      </w:r>
      <w:r>
        <w:rPr>
          <w:rStyle w:val="Funotenzeichen"/>
          <w:rFonts w:ascii="Times New Roman" w:hAnsi="Times New Roman"/>
          <w:sz w:val="24"/>
        </w:rPr>
        <w:footnoteReference w:id="20"/>
      </w:r>
    </w:p>
    <w:p w14:paraId="6DD21FA2" w14:textId="63DC6384" w:rsidR="0007430C" w:rsidRDefault="00862EF1"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Wenn es Meinungsverschiedenheiten darüber gibt, ob die Aktivität eines Händlers illegal </w:t>
      </w:r>
      <w:proofErr w:type="gramStart"/>
      <w:r>
        <w:rPr>
          <w:rFonts w:ascii="Times New Roman" w:hAnsi="Times New Roman"/>
          <w:sz w:val="24"/>
        </w:rPr>
        <w:t>ist</w:t>
      </w:r>
      <w:proofErr w:type="gramEnd"/>
      <w:r>
        <w:rPr>
          <w:rFonts w:ascii="Times New Roman" w:hAnsi="Times New Roman"/>
          <w:sz w:val="24"/>
        </w:rPr>
        <w:t xml:space="preserve">, kann der Fall einem Gericht vorgetragen werden. </w:t>
      </w:r>
      <w:r w:rsidR="00EE3D0F">
        <w:rPr>
          <w:rFonts w:ascii="Times New Roman" w:hAnsi="Times New Roman"/>
          <w:sz w:val="24"/>
        </w:rPr>
        <w:t xml:space="preserve">So, wie der Gerichtshof der EU agiert, </w:t>
      </w:r>
      <w:r>
        <w:rPr>
          <w:rFonts w:ascii="Times New Roman" w:hAnsi="Times New Roman"/>
          <w:sz w:val="24"/>
        </w:rPr>
        <w:t xml:space="preserve">ist </w:t>
      </w:r>
      <w:r w:rsidR="00EE3D0F">
        <w:rPr>
          <w:rFonts w:ascii="Times New Roman" w:hAnsi="Times New Roman"/>
          <w:sz w:val="24"/>
        </w:rPr>
        <w:t xml:space="preserve">es </w:t>
      </w:r>
      <w:r>
        <w:rPr>
          <w:rFonts w:ascii="Times New Roman" w:hAnsi="Times New Roman"/>
          <w:sz w:val="24"/>
        </w:rPr>
        <w:t xml:space="preserve">wichtig, dass Gerichte </w:t>
      </w:r>
      <w:r w:rsidR="00EE3D0F">
        <w:rPr>
          <w:rFonts w:ascii="Times New Roman" w:hAnsi="Times New Roman"/>
          <w:sz w:val="24"/>
        </w:rPr>
        <w:t xml:space="preserve">über </w:t>
      </w:r>
      <w:r>
        <w:rPr>
          <w:rFonts w:ascii="Times New Roman" w:hAnsi="Times New Roman"/>
          <w:sz w:val="24"/>
        </w:rPr>
        <w:t xml:space="preserve">die wichtigen </w:t>
      </w:r>
      <w:r w:rsidR="00EE3D0F">
        <w:rPr>
          <w:rFonts w:ascii="Times New Roman" w:hAnsi="Times New Roman"/>
          <w:sz w:val="24"/>
        </w:rPr>
        <w:t>Rechtsfragen entscheiden</w:t>
      </w:r>
      <w:r>
        <w:rPr>
          <w:rFonts w:ascii="Times New Roman" w:hAnsi="Times New Roman"/>
          <w:sz w:val="24"/>
        </w:rPr>
        <w:t xml:space="preserve">, </w:t>
      </w:r>
      <w:r w:rsidR="00EE3D0F">
        <w:rPr>
          <w:rFonts w:ascii="Times New Roman" w:hAnsi="Times New Roman"/>
          <w:sz w:val="24"/>
        </w:rPr>
        <w:t>ohne</w:t>
      </w:r>
      <w:r>
        <w:rPr>
          <w:rFonts w:ascii="Times New Roman" w:hAnsi="Times New Roman"/>
          <w:sz w:val="24"/>
        </w:rPr>
        <w:t xml:space="preserve"> darauf </w:t>
      </w:r>
      <w:r w:rsidR="00EE3D0F">
        <w:rPr>
          <w:rFonts w:ascii="Times New Roman" w:hAnsi="Times New Roman"/>
          <w:sz w:val="24"/>
        </w:rPr>
        <w:t xml:space="preserve">zu </w:t>
      </w:r>
      <w:r>
        <w:rPr>
          <w:rFonts w:ascii="Times New Roman" w:hAnsi="Times New Roman"/>
          <w:sz w:val="24"/>
        </w:rPr>
        <w:t xml:space="preserve">bestehen, jeden einzelnen </w:t>
      </w:r>
      <w:r w:rsidR="00EE3D0F">
        <w:rPr>
          <w:rFonts w:ascii="Times New Roman" w:hAnsi="Times New Roman"/>
          <w:sz w:val="24"/>
        </w:rPr>
        <w:t xml:space="preserve">rechtlichen </w:t>
      </w:r>
      <w:r>
        <w:rPr>
          <w:rFonts w:ascii="Times New Roman" w:hAnsi="Times New Roman"/>
          <w:sz w:val="24"/>
        </w:rPr>
        <w:t>Aspekt des Streitfalls zu klären</w:t>
      </w:r>
      <w:proofErr w:type="gramStart"/>
      <w:r>
        <w:rPr>
          <w:rFonts w:ascii="Times New Roman" w:hAnsi="Times New Roman"/>
          <w:sz w:val="24"/>
        </w:rPr>
        <w:t>:</w:t>
      </w:r>
      <w:r w:rsidR="00EE3D0F">
        <w:rPr>
          <w:rFonts w:ascii="Times New Roman" w:hAnsi="Times New Roman"/>
          <w:sz w:val="24"/>
        </w:rPr>
        <w:t>Die</w:t>
      </w:r>
      <w:proofErr w:type="gramEnd"/>
      <w:r w:rsidR="00EE3D0F">
        <w:rPr>
          <w:rFonts w:ascii="Times New Roman" w:hAnsi="Times New Roman"/>
          <w:sz w:val="24"/>
        </w:rPr>
        <w:t xml:space="preserve"> l</w:t>
      </w:r>
      <w:r>
        <w:rPr>
          <w:rFonts w:ascii="Times New Roman" w:hAnsi="Times New Roman"/>
          <w:sz w:val="24"/>
        </w:rPr>
        <w:t xml:space="preserve">etztere </w:t>
      </w:r>
      <w:r w:rsidR="00EE3D0F">
        <w:rPr>
          <w:rFonts w:ascii="Times New Roman" w:hAnsi="Times New Roman"/>
          <w:sz w:val="24"/>
        </w:rPr>
        <w:t xml:space="preserve">Vorgehensweise würde </w:t>
      </w:r>
      <w:r>
        <w:rPr>
          <w:rFonts w:ascii="Times New Roman" w:hAnsi="Times New Roman"/>
          <w:sz w:val="24"/>
        </w:rPr>
        <w:t>ein effektive</w:t>
      </w:r>
      <w:r w:rsidR="00EE3D0F">
        <w:rPr>
          <w:rFonts w:ascii="Times New Roman" w:hAnsi="Times New Roman"/>
          <w:sz w:val="24"/>
        </w:rPr>
        <w:t>s</w:t>
      </w:r>
      <w:r>
        <w:rPr>
          <w:rFonts w:ascii="Times New Roman" w:hAnsi="Times New Roman"/>
          <w:sz w:val="24"/>
        </w:rPr>
        <w:t xml:space="preserve"> Funktion</w:t>
      </w:r>
      <w:r w:rsidR="00EE3D0F">
        <w:rPr>
          <w:rFonts w:ascii="Times New Roman" w:hAnsi="Times New Roman"/>
          <w:sz w:val="24"/>
        </w:rPr>
        <w:t>ieren</w:t>
      </w:r>
      <w:r>
        <w:rPr>
          <w:rFonts w:ascii="Times New Roman" w:hAnsi="Times New Roman"/>
          <w:sz w:val="24"/>
        </w:rPr>
        <w:t xml:space="preserve"> moderne</w:t>
      </w:r>
      <w:r w:rsidR="00EE3D0F">
        <w:rPr>
          <w:rFonts w:ascii="Times New Roman" w:hAnsi="Times New Roman"/>
          <w:sz w:val="24"/>
        </w:rPr>
        <w:t>r</w:t>
      </w:r>
      <w:r>
        <w:rPr>
          <w:rFonts w:ascii="Times New Roman" w:hAnsi="Times New Roman"/>
          <w:sz w:val="24"/>
        </w:rPr>
        <w:t xml:space="preserve"> Markt- und Regulierungssysteme nicht</w:t>
      </w:r>
      <w:r w:rsidR="00EE3D0F">
        <w:rPr>
          <w:rFonts w:ascii="Times New Roman" w:hAnsi="Times New Roman"/>
          <w:sz w:val="24"/>
        </w:rPr>
        <w:t xml:space="preserve"> unterstützen</w:t>
      </w:r>
      <w:r>
        <w:rPr>
          <w:rFonts w:ascii="Times New Roman" w:hAnsi="Times New Roman"/>
          <w:sz w:val="24"/>
        </w:rPr>
        <w:t xml:space="preserve">. In den Niederlanden wurden verschiedene ähnliche Mechanismen eingeführt, um die Parteien dazu zu bewegen, sich durch Vergleich zu einigen, wenn bestimmte juristische Aspekte durch ein Gericht entschieden werden können und damit der Weg für eine Einigung frei ist. </w:t>
      </w:r>
      <w:r>
        <w:rPr>
          <w:rStyle w:val="Funotenzeichen"/>
          <w:rFonts w:ascii="Times New Roman" w:hAnsi="Times New Roman"/>
          <w:sz w:val="24"/>
        </w:rPr>
        <w:footnoteReference w:id="21"/>
      </w:r>
    </w:p>
    <w:p w14:paraId="31148389" w14:textId="4D589F10" w:rsidR="00F75257" w:rsidRDefault="00E127A2"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Es </w:t>
      </w:r>
      <w:proofErr w:type="gramStart"/>
      <w:r>
        <w:rPr>
          <w:rFonts w:ascii="Times New Roman" w:hAnsi="Times New Roman"/>
          <w:sz w:val="24"/>
        </w:rPr>
        <w:t>ist</w:t>
      </w:r>
      <w:proofErr w:type="gramEnd"/>
      <w:r>
        <w:rPr>
          <w:rFonts w:ascii="Times New Roman" w:hAnsi="Times New Roman"/>
          <w:sz w:val="24"/>
        </w:rPr>
        <w:t xml:space="preserve"> wichtig, dass CDR-Systeme </w:t>
      </w:r>
      <w:r w:rsidR="00DC1B75">
        <w:rPr>
          <w:rFonts w:ascii="Times New Roman" w:hAnsi="Times New Roman"/>
          <w:sz w:val="24"/>
        </w:rPr>
        <w:t xml:space="preserve">aller </w:t>
      </w:r>
      <w:r>
        <w:rPr>
          <w:rFonts w:ascii="Times New Roman" w:hAnsi="Times New Roman"/>
          <w:sz w:val="24"/>
        </w:rPr>
        <w:t xml:space="preserve">Art die </w:t>
      </w:r>
      <w:r w:rsidR="00DC1B75">
        <w:rPr>
          <w:rFonts w:ascii="Times New Roman" w:hAnsi="Times New Roman"/>
          <w:sz w:val="24"/>
        </w:rPr>
        <w:t>v</w:t>
      </w:r>
      <w:r>
        <w:rPr>
          <w:rFonts w:ascii="Times New Roman" w:hAnsi="Times New Roman"/>
          <w:sz w:val="24"/>
        </w:rPr>
        <w:t>erfassungs</w:t>
      </w:r>
      <w:r w:rsidR="00DC1B75">
        <w:rPr>
          <w:rFonts w:ascii="Times New Roman" w:hAnsi="Times New Roman"/>
          <w:sz w:val="24"/>
        </w:rPr>
        <w:t>rechtlichen Anforderungen</w:t>
      </w:r>
      <w:r>
        <w:rPr>
          <w:rFonts w:ascii="Times New Roman" w:hAnsi="Times New Roman"/>
          <w:sz w:val="24"/>
        </w:rPr>
        <w:t xml:space="preserve"> erfüllen. Die gleiche</w:t>
      </w:r>
      <w:r w:rsidR="00DC1B75">
        <w:rPr>
          <w:rFonts w:ascii="Times New Roman" w:hAnsi="Times New Roman"/>
          <w:sz w:val="24"/>
        </w:rPr>
        <w:t>n</w:t>
      </w:r>
      <w:r>
        <w:rPr>
          <w:rFonts w:ascii="Times New Roman" w:hAnsi="Times New Roman"/>
          <w:sz w:val="24"/>
        </w:rPr>
        <w:t xml:space="preserve"> </w:t>
      </w:r>
      <w:r w:rsidR="00DC1B75">
        <w:rPr>
          <w:rFonts w:ascii="Times New Roman" w:hAnsi="Times New Roman"/>
          <w:sz w:val="24"/>
        </w:rPr>
        <w:t>Anf</w:t>
      </w:r>
      <w:r>
        <w:rPr>
          <w:rFonts w:ascii="Times New Roman" w:hAnsi="Times New Roman"/>
          <w:sz w:val="24"/>
        </w:rPr>
        <w:t>orderung</w:t>
      </w:r>
      <w:r w:rsidR="00DC1B75">
        <w:rPr>
          <w:rFonts w:ascii="Times New Roman" w:hAnsi="Times New Roman"/>
          <w:sz w:val="24"/>
        </w:rPr>
        <w:t>en</w:t>
      </w:r>
      <w:r>
        <w:rPr>
          <w:rFonts w:ascii="Times New Roman" w:hAnsi="Times New Roman"/>
          <w:sz w:val="24"/>
        </w:rPr>
        <w:t xml:space="preserve"> g</w:t>
      </w:r>
      <w:r w:rsidR="00DC1B75">
        <w:rPr>
          <w:rFonts w:ascii="Times New Roman" w:hAnsi="Times New Roman"/>
          <w:sz w:val="24"/>
        </w:rPr>
        <w:t>e</w:t>
      </w:r>
      <w:r>
        <w:rPr>
          <w:rFonts w:ascii="Times New Roman" w:hAnsi="Times New Roman"/>
          <w:sz w:val="24"/>
        </w:rPr>
        <w:t>lt</w:t>
      </w:r>
      <w:r w:rsidR="00DC1B75">
        <w:rPr>
          <w:rFonts w:ascii="Times New Roman" w:hAnsi="Times New Roman"/>
          <w:sz w:val="24"/>
        </w:rPr>
        <w:t>en</w:t>
      </w:r>
      <w:r>
        <w:rPr>
          <w:rFonts w:ascii="Times New Roman" w:hAnsi="Times New Roman"/>
          <w:sz w:val="24"/>
        </w:rPr>
        <w:t xml:space="preserve"> </w:t>
      </w:r>
      <w:r w:rsidR="00DC1B75">
        <w:rPr>
          <w:rFonts w:ascii="Times New Roman" w:hAnsi="Times New Roman"/>
          <w:sz w:val="24"/>
        </w:rPr>
        <w:t xml:space="preserve">natürlich </w:t>
      </w:r>
      <w:r>
        <w:rPr>
          <w:rFonts w:ascii="Times New Roman" w:hAnsi="Times New Roman"/>
          <w:sz w:val="24"/>
        </w:rPr>
        <w:t xml:space="preserve">für öffentliche Institutionen </w:t>
      </w:r>
      <w:r w:rsidR="00DC1B75">
        <w:rPr>
          <w:rFonts w:ascii="Times New Roman" w:hAnsi="Times New Roman"/>
          <w:sz w:val="24"/>
        </w:rPr>
        <w:t xml:space="preserve">aller </w:t>
      </w:r>
      <w:r>
        <w:rPr>
          <w:rFonts w:ascii="Times New Roman" w:hAnsi="Times New Roman"/>
          <w:sz w:val="24"/>
        </w:rPr>
        <w:t>Art</w:t>
      </w:r>
      <w:r w:rsidR="00DC1B75">
        <w:rPr>
          <w:rFonts w:ascii="Times New Roman" w:hAnsi="Times New Roman"/>
          <w:sz w:val="24"/>
        </w:rPr>
        <w:t xml:space="preserve"> wie</w:t>
      </w:r>
      <w:r>
        <w:rPr>
          <w:rFonts w:ascii="Times New Roman" w:hAnsi="Times New Roman"/>
          <w:sz w:val="24"/>
        </w:rPr>
        <w:t xml:space="preserve"> Regulierungsbehörden und Gerichte. Es </w:t>
      </w:r>
      <w:proofErr w:type="gramStart"/>
      <w:r>
        <w:rPr>
          <w:rFonts w:ascii="Times New Roman" w:hAnsi="Times New Roman"/>
          <w:sz w:val="24"/>
        </w:rPr>
        <w:t>ist</w:t>
      </w:r>
      <w:proofErr w:type="gramEnd"/>
      <w:r>
        <w:rPr>
          <w:rFonts w:ascii="Times New Roman" w:hAnsi="Times New Roman"/>
          <w:sz w:val="24"/>
        </w:rPr>
        <w:t xml:space="preserve"> wichtig, dass CDR-Institutionen Inkonsistenzen vermeiden, nicht gegeneinander ausgespielt werden und eine allgemeine Verwirrung durch unnötige Vermehrung von Institutionen vermieden wird.</w:t>
      </w:r>
    </w:p>
    <w:p w14:paraId="7B06F801" w14:textId="28E10017" w:rsidR="00F75257" w:rsidRDefault="00E127A2"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Die EU hat im Laufe der Jahre Kriterien für ADR-Institutionen entwickelt</w:t>
      </w:r>
      <w:r>
        <w:rPr>
          <w:rStyle w:val="Funotenzeichen"/>
          <w:rFonts w:ascii="Times New Roman" w:hAnsi="Times New Roman"/>
          <w:sz w:val="24"/>
        </w:rPr>
        <w:footnoteReference w:id="22"/>
      </w:r>
      <w:r>
        <w:rPr>
          <w:rFonts w:ascii="Times New Roman" w:hAnsi="Times New Roman"/>
          <w:sz w:val="24"/>
        </w:rPr>
        <w:t xml:space="preserve"> und Kriterien für CDR-Institutionen verabschiedet, die von den zuständigen nationalen Behörden angewendet werden müssen. </w:t>
      </w:r>
      <w:r>
        <w:rPr>
          <w:rStyle w:val="Funotenzeichen"/>
          <w:rFonts w:ascii="Times New Roman" w:hAnsi="Times New Roman"/>
          <w:sz w:val="24"/>
        </w:rPr>
        <w:footnoteReference w:id="23"/>
      </w:r>
      <w:r>
        <w:rPr>
          <w:rFonts w:ascii="Times New Roman" w:hAnsi="Times New Roman"/>
          <w:sz w:val="24"/>
        </w:rPr>
        <w:t xml:space="preserve"> Die Richtlinienanforderungen für CDR enthalten starke Anreize </w:t>
      </w:r>
      <w:proofErr w:type="gramStart"/>
      <w:r>
        <w:rPr>
          <w:rFonts w:ascii="Times New Roman" w:hAnsi="Times New Roman"/>
          <w:sz w:val="24"/>
        </w:rPr>
        <w:t>dafür,</w:t>
      </w:r>
      <w:proofErr w:type="gramEnd"/>
      <w:r>
        <w:rPr>
          <w:rFonts w:ascii="Times New Roman" w:hAnsi="Times New Roman"/>
          <w:sz w:val="24"/>
        </w:rPr>
        <w:t xml:space="preserve"> dass die CDR-Institutionen und Prozesse </w:t>
      </w:r>
      <w:r w:rsidR="00603589">
        <w:rPr>
          <w:rFonts w:ascii="Times New Roman" w:hAnsi="Times New Roman"/>
          <w:sz w:val="24"/>
        </w:rPr>
        <w:t xml:space="preserve">leicht </w:t>
      </w:r>
      <w:r>
        <w:rPr>
          <w:rFonts w:ascii="Times New Roman" w:hAnsi="Times New Roman"/>
          <w:sz w:val="24"/>
        </w:rPr>
        <w:t>zugänglich, schnell und kostengünstig sind und flexib</w:t>
      </w:r>
      <w:r w:rsidR="00603589">
        <w:rPr>
          <w:rFonts w:ascii="Times New Roman" w:hAnsi="Times New Roman"/>
          <w:sz w:val="24"/>
        </w:rPr>
        <w:t>e</w:t>
      </w:r>
      <w:r>
        <w:rPr>
          <w:rFonts w:ascii="Times New Roman" w:hAnsi="Times New Roman"/>
          <w:sz w:val="24"/>
        </w:rPr>
        <w:t>l und mitunter formlos</w:t>
      </w:r>
      <w:r w:rsidR="00603589">
        <w:rPr>
          <w:rFonts w:ascii="Times New Roman" w:hAnsi="Times New Roman"/>
          <w:sz w:val="24"/>
        </w:rPr>
        <w:t xml:space="preserve"> agieren können</w:t>
      </w:r>
      <w:r>
        <w:rPr>
          <w:rFonts w:ascii="Times New Roman" w:hAnsi="Times New Roman"/>
          <w:sz w:val="24"/>
        </w:rPr>
        <w:t xml:space="preserve">. Der wesentliche Punkt </w:t>
      </w:r>
      <w:proofErr w:type="gramStart"/>
      <w:r>
        <w:rPr>
          <w:rFonts w:ascii="Times New Roman" w:hAnsi="Times New Roman"/>
          <w:sz w:val="24"/>
        </w:rPr>
        <w:t>ist</w:t>
      </w:r>
      <w:proofErr w:type="gramEnd"/>
      <w:r>
        <w:rPr>
          <w:rFonts w:ascii="Times New Roman" w:hAnsi="Times New Roman"/>
          <w:sz w:val="24"/>
        </w:rPr>
        <w:t xml:space="preserve">, dass es sich dabei gerade </w:t>
      </w:r>
      <w:r>
        <w:rPr>
          <w:rFonts w:ascii="Times New Roman" w:hAnsi="Times New Roman"/>
          <w:i/>
          <w:sz w:val="24"/>
        </w:rPr>
        <w:t>nicht</w:t>
      </w:r>
      <w:r>
        <w:rPr>
          <w:rFonts w:ascii="Times New Roman" w:hAnsi="Times New Roman"/>
          <w:sz w:val="24"/>
        </w:rPr>
        <w:t xml:space="preserve"> um Gerichte handelt, wo die strikte Anwendung der Anforderungen eines ordentlichen </w:t>
      </w:r>
      <w:r w:rsidR="00603589">
        <w:rPr>
          <w:rFonts w:ascii="Times New Roman" w:hAnsi="Times New Roman"/>
          <w:sz w:val="24"/>
        </w:rPr>
        <w:t>Gerichtsp</w:t>
      </w:r>
      <w:r>
        <w:rPr>
          <w:rFonts w:ascii="Times New Roman" w:hAnsi="Times New Roman"/>
          <w:sz w:val="24"/>
        </w:rPr>
        <w:t xml:space="preserve">rozesses zu längeren Bearbeitungszeiten und höheren Kosten führt. </w:t>
      </w:r>
    </w:p>
    <w:p w14:paraId="55654B61" w14:textId="68ADC44F" w:rsidR="008B17A9" w:rsidRDefault="00E127A2"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Die Absprachen für den Irish Financial Services Ombudsman (FSO) </w:t>
      </w:r>
      <w:proofErr w:type="gramStart"/>
      <w:r>
        <w:rPr>
          <w:rFonts w:ascii="Times New Roman" w:hAnsi="Times New Roman"/>
          <w:sz w:val="24"/>
        </w:rPr>
        <w:t>sind</w:t>
      </w:r>
      <w:proofErr w:type="gramEnd"/>
      <w:r>
        <w:rPr>
          <w:rFonts w:ascii="Times New Roman" w:hAnsi="Times New Roman"/>
          <w:sz w:val="24"/>
        </w:rPr>
        <w:t xml:space="preserve"> in Europa wahrscheinlich einmalig, da sie einen Berufungsmechanismus </w:t>
      </w:r>
      <w:r w:rsidR="00603589">
        <w:rPr>
          <w:rFonts w:ascii="Times New Roman" w:hAnsi="Times New Roman"/>
          <w:sz w:val="24"/>
        </w:rPr>
        <w:t>zum</w:t>
      </w:r>
      <w:r>
        <w:rPr>
          <w:rFonts w:ascii="Times New Roman" w:hAnsi="Times New Roman"/>
          <w:sz w:val="24"/>
        </w:rPr>
        <w:t xml:space="preserve"> oberste</w:t>
      </w:r>
      <w:r w:rsidR="00603589">
        <w:rPr>
          <w:rFonts w:ascii="Times New Roman" w:hAnsi="Times New Roman"/>
          <w:sz w:val="24"/>
        </w:rPr>
        <w:t>n</w:t>
      </w:r>
      <w:r>
        <w:rPr>
          <w:rFonts w:ascii="Times New Roman" w:hAnsi="Times New Roman"/>
          <w:sz w:val="24"/>
        </w:rPr>
        <w:t xml:space="preserve"> Gericht vorsehen. Dieser Mechanismus </w:t>
      </w:r>
      <w:proofErr w:type="gramStart"/>
      <w:r>
        <w:rPr>
          <w:rFonts w:ascii="Times New Roman" w:hAnsi="Times New Roman"/>
          <w:sz w:val="24"/>
        </w:rPr>
        <w:t>ist</w:t>
      </w:r>
      <w:proofErr w:type="gramEnd"/>
      <w:r>
        <w:rPr>
          <w:rFonts w:ascii="Times New Roman" w:hAnsi="Times New Roman"/>
          <w:sz w:val="24"/>
        </w:rPr>
        <w:t xml:space="preserve"> unglücklich. Er veranlasst Banken, bei vielen Entscheidungen in Berufung zu gehen, sodass der FSO ein Fünftel seines Jahresbudgets für Gerichtsverfahren ausgibt und </w:t>
      </w:r>
      <w:r w:rsidR="00603589">
        <w:rPr>
          <w:rFonts w:ascii="Times New Roman" w:hAnsi="Times New Roman"/>
          <w:sz w:val="24"/>
        </w:rPr>
        <w:t>Ger</w:t>
      </w:r>
      <w:r>
        <w:rPr>
          <w:rFonts w:ascii="Times New Roman" w:hAnsi="Times New Roman"/>
          <w:sz w:val="24"/>
        </w:rPr>
        <w:t>echt</w:t>
      </w:r>
      <w:r w:rsidR="00603589">
        <w:rPr>
          <w:rFonts w:ascii="Times New Roman" w:hAnsi="Times New Roman"/>
          <w:sz w:val="24"/>
        </w:rPr>
        <w:t>igkeit erst</w:t>
      </w:r>
      <w:r>
        <w:rPr>
          <w:rFonts w:ascii="Times New Roman" w:hAnsi="Times New Roman"/>
          <w:sz w:val="24"/>
        </w:rPr>
        <w:t xml:space="preserve"> mit erheblicher Verzögerung </w:t>
      </w:r>
      <w:r w:rsidR="00603589">
        <w:rPr>
          <w:rFonts w:ascii="Times New Roman" w:hAnsi="Times New Roman"/>
          <w:sz w:val="24"/>
        </w:rPr>
        <w:t xml:space="preserve">hergestellt </w:t>
      </w:r>
      <w:r>
        <w:rPr>
          <w:rFonts w:ascii="Times New Roman" w:hAnsi="Times New Roman"/>
          <w:sz w:val="24"/>
        </w:rPr>
        <w:t xml:space="preserve">wird. Dieses System </w:t>
      </w:r>
      <w:r>
        <w:rPr>
          <w:rFonts w:ascii="Times New Roman" w:hAnsi="Times New Roman"/>
          <w:sz w:val="24"/>
        </w:rPr>
        <w:lastRenderedPageBreak/>
        <w:t xml:space="preserve">erlaubt es außerdem Richtern, die mit den formalen Konzepten eines ordentlichen Gerichtsverfahrens vertraut </w:t>
      </w:r>
      <w:proofErr w:type="gramStart"/>
      <w:r>
        <w:rPr>
          <w:rFonts w:ascii="Times New Roman" w:hAnsi="Times New Roman"/>
          <w:sz w:val="24"/>
        </w:rPr>
        <w:t>sind</w:t>
      </w:r>
      <w:proofErr w:type="gramEnd"/>
      <w:r>
        <w:rPr>
          <w:rFonts w:ascii="Times New Roman" w:hAnsi="Times New Roman"/>
          <w:sz w:val="24"/>
        </w:rPr>
        <w:t xml:space="preserve">, den Arbeitsmodus des FSO so zu verändern, dass er eher wie ein Gericht funktioniert und auf diese Weise ebenfalls Verzögerungen und Kosten entstehen. Die Daten zeigen </w:t>
      </w:r>
      <w:proofErr w:type="gramStart"/>
      <w:r>
        <w:rPr>
          <w:rFonts w:ascii="Times New Roman" w:hAnsi="Times New Roman"/>
          <w:sz w:val="24"/>
        </w:rPr>
        <w:t>eindeutig,</w:t>
      </w:r>
      <w:proofErr w:type="gramEnd"/>
      <w:r>
        <w:rPr>
          <w:rFonts w:ascii="Times New Roman" w:hAnsi="Times New Roman"/>
          <w:sz w:val="24"/>
        </w:rPr>
        <w:t xml:space="preserve"> dass die große Mehrheit der Verbraucher</w:t>
      </w:r>
      <w:r w:rsidR="00603589">
        <w:rPr>
          <w:rFonts w:ascii="Times New Roman" w:hAnsi="Times New Roman"/>
          <w:sz w:val="24"/>
        </w:rPr>
        <w:t>streitigkeiten</w:t>
      </w:r>
      <w:r>
        <w:rPr>
          <w:rFonts w:ascii="Times New Roman" w:hAnsi="Times New Roman"/>
          <w:sz w:val="24"/>
        </w:rPr>
        <w:t xml:space="preserve"> sehr kleine Summen </w:t>
      </w:r>
      <w:r w:rsidR="00603589">
        <w:rPr>
          <w:rFonts w:ascii="Times New Roman" w:hAnsi="Times New Roman"/>
          <w:sz w:val="24"/>
        </w:rPr>
        <w:t>betrifft</w:t>
      </w:r>
      <w:r>
        <w:rPr>
          <w:rFonts w:ascii="Times New Roman" w:hAnsi="Times New Roman"/>
          <w:sz w:val="24"/>
        </w:rPr>
        <w:t xml:space="preserve">. </w:t>
      </w:r>
      <w:r>
        <w:rPr>
          <w:rStyle w:val="Funotenzeichen"/>
          <w:rFonts w:ascii="Times New Roman" w:hAnsi="Times New Roman"/>
          <w:sz w:val="24"/>
        </w:rPr>
        <w:footnoteReference w:id="24"/>
      </w:r>
      <w:r>
        <w:rPr>
          <w:rFonts w:ascii="Times New Roman" w:hAnsi="Times New Roman"/>
          <w:sz w:val="24"/>
        </w:rPr>
        <w:t xml:space="preserve"> Die Aufgabe der CDR-Systeme </w:t>
      </w:r>
      <w:proofErr w:type="gramStart"/>
      <w:r>
        <w:rPr>
          <w:rFonts w:ascii="Times New Roman" w:hAnsi="Times New Roman"/>
          <w:sz w:val="24"/>
        </w:rPr>
        <w:t>ist</w:t>
      </w:r>
      <w:proofErr w:type="gramEnd"/>
      <w:r>
        <w:rPr>
          <w:rFonts w:ascii="Times New Roman" w:hAnsi="Times New Roman"/>
          <w:sz w:val="24"/>
        </w:rPr>
        <w:t xml:space="preserve"> es gerade, eine schnelle und faire Streitbeilegung zu sehr geringen Kosten zu ermöglichen. Ein Mechanismus zur Prüfung </w:t>
      </w:r>
      <w:r w:rsidR="00603589">
        <w:rPr>
          <w:rFonts w:ascii="Times New Roman" w:hAnsi="Times New Roman"/>
          <w:sz w:val="24"/>
        </w:rPr>
        <w:t xml:space="preserve">auf schwerwiegende Rechtsanwendungsfehler </w:t>
      </w:r>
      <w:r>
        <w:rPr>
          <w:rFonts w:ascii="Times New Roman" w:hAnsi="Times New Roman"/>
          <w:sz w:val="24"/>
        </w:rPr>
        <w:t xml:space="preserve">dürfte </w:t>
      </w:r>
      <w:r w:rsidR="00710BAC">
        <w:rPr>
          <w:rFonts w:ascii="Times New Roman" w:hAnsi="Times New Roman"/>
          <w:sz w:val="24"/>
        </w:rPr>
        <w:t xml:space="preserve">das Maximum dessen sein, was </w:t>
      </w:r>
      <w:r>
        <w:rPr>
          <w:rFonts w:ascii="Times New Roman" w:hAnsi="Times New Roman"/>
          <w:sz w:val="24"/>
        </w:rPr>
        <w:t xml:space="preserve">für eine effektive juristische Kontrolle der Legalität erforderlich </w:t>
      </w:r>
      <w:proofErr w:type="gramStart"/>
      <w:r w:rsidR="00710BAC">
        <w:rPr>
          <w:rFonts w:ascii="Times New Roman" w:hAnsi="Times New Roman"/>
          <w:sz w:val="24"/>
        </w:rPr>
        <w:t>ist</w:t>
      </w:r>
      <w:proofErr w:type="gramEnd"/>
      <w:r>
        <w:rPr>
          <w:rFonts w:ascii="Times New Roman" w:hAnsi="Times New Roman"/>
          <w:sz w:val="24"/>
        </w:rPr>
        <w:t xml:space="preserve">, auch deshalb, weil weitere Transparenz- und Kontrollfunktionen </w:t>
      </w:r>
      <w:r w:rsidR="00603589">
        <w:rPr>
          <w:rFonts w:ascii="Times New Roman" w:hAnsi="Times New Roman"/>
          <w:sz w:val="24"/>
        </w:rPr>
        <w:t>bestehen</w:t>
      </w:r>
      <w:r>
        <w:rPr>
          <w:rFonts w:ascii="Times New Roman" w:hAnsi="Times New Roman"/>
          <w:sz w:val="24"/>
        </w:rPr>
        <w:t>.</w:t>
      </w:r>
    </w:p>
    <w:p w14:paraId="2A099C62" w14:textId="77777777" w:rsidR="00F64B53" w:rsidRDefault="00F64B53" w:rsidP="0007430C">
      <w:pPr>
        <w:spacing w:after="0" w:line="240" w:lineRule="auto"/>
        <w:jc w:val="both"/>
        <w:rPr>
          <w:rFonts w:ascii="Times New Roman" w:hAnsi="Times New Roman" w:cs="Times New Roman"/>
          <w:sz w:val="24"/>
          <w:szCs w:val="24"/>
        </w:rPr>
      </w:pPr>
    </w:p>
    <w:p w14:paraId="4DC134C4" w14:textId="77777777" w:rsidR="0007430C" w:rsidRDefault="0007430C" w:rsidP="0007430C">
      <w:pPr>
        <w:spacing w:after="0" w:line="240" w:lineRule="auto"/>
        <w:jc w:val="both"/>
        <w:rPr>
          <w:rFonts w:ascii="Times New Roman" w:hAnsi="Times New Roman" w:cs="Times New Roman"/>
          <w:sz w:val="24"/>
          <w:szCs w:val="24"/>
        </w:rPr>
      </w:pPr>
    </w:p>
    <w:p w14:paraId="081222E4" w14:textId="5841F466" w:rsidR="00282B90" w:rsidRPr="00282B90" w:rsidRDefault="00710BAC" w:rsidP="003B7C50">
      <w:pPr>
        <w:spacing w:after="0" w:line="240" w:lineRule="auto"/>
        <w:jc w:val="center"/>
        <w:rPr>
          <w:rFonts w:ascii="Times New Roman" w:eastAsia="SimSun" w:hAnsi="Times New Roman" w:cs="Times New Roman"/>
          <w:b/>
          <w:sz w:val="24"/>
          <w:szCs w:val="24"/>
        </w:rPr>
      </w:pPr>
      <w:r>
        <w:rPr>
          <w:rFonts w:ascii="Times New Roman" w:hAnsi="Times New Roman"/>
          <w:b/>
          <w:sz w:val="24"/>
        </w:rPr>
        <w:t>Die strategische Perspektive</w:t>
      </w:r>
      <w:r w:rsidR="00E77015">
        <w:rPr>
          <w:rFonts w:ascii="Times New Roman" w:hAnsi="Times New Roman"/>
          <w:b/>
          <w:sz w:val="24"/>
        </w:rPr>
        <w:t xml:space="preserve">: Eine </w:t>
      </w:r>
      <w:r>
        <w:rPr>
          <w:rFonts w:ascii="Times New Roman" w:hAnsi="Times New Roman"/>
          <w:b/>
          <w:sz w:val="24"/>
        </w:rPr>
        <w:t>Riesenc</w:t>
      </w:r>
      <w:r w:rsidR="00E77015">
        <w:rPr>
          <w:rFonts w:ascii="Times New Roman" w:hAnsi="Times New Roman"/>
          <w:b/>
          <w:sz w:val="24"/>
        </w:rPr>
        <w:t xml:space="preserve">hance zur </w:t>
      </w:r>
      <w:r>
        <w:rPr>
          <w:rFonts w:ascii="Times New Roman" w:hAnsi="Times New Roman"/>
          <w:b/>
          <w:sz w:val="24"/>
        </w:rPr>
        <w:t xml:space="preserve">Einführung </w:t>
      </w:r>
      <w:r w:rsidR="00E77015">
        <w:rPr>
          <w:rFonts w:ascii="Times New Roman" w:hAnsi="Times New Roman"/>
          <w:b/>
          <w:sz w:val="24"/>
        </w:rPr>
        <w:t>eine</w:t>
      </w:r>
      <w:r>
        <w:rPr>
          <w:rFonts w:ascii="Times New Roman" w:hAnsi="Times New Roman"/>
          <w:b/>
          <w:sz w:val="24"/>
        </w:rPr>
        <w:t>s</w:t>
      </w:r>
      <w:r w:rsidR="00E77015">
        <w:rPr>
          <w:rFonts w:ascii="Times New Roman" w:hAnsi="Times New Roman"/>
          <w:b/>
          <w:sz w:val="24"/>
        </w:rPr>
        <w:t xml:space="preserve"> </w:t>
      </w:r>
      <w:r>
        <w:rPr>
          <w:rFonts w:ascii="Times New Roman" w:hAnsi="Times New Roman"/>
          <w:b/>
          <w:sz w:val="24"/>
        </w:rPr>
        <w:t>ganzheitlichen Modells</w:t>
      </w:r>
    </w:p>
    <w:p w14:paraId="3AD13695" w14:textId="77777777" w:rsidR="00282B90" w:rsidRPr="00282B90" w:rsidRDefault="00282B90" w:rsidP="00282B90">
      <w:pPr>
        <w:spacing w:after="0" w:line="240" w:lineRule="auto"/>
        <w:jc w:val="both"/>
        <w:rPr>
          <w:rFonts w:ascii="Times New Roman" w:eastAsia="SimSun" w:hAnsi="Times New Roman" w:cs="Times New Roman"/>
          <w:sz w:val="24"/>
          <w:szCs w:val="24"/>
        </w:rPr>
      </w:pPr>
    </w:p>
    <w:p w14:paraId="0727BCFC" w14:textId="3A7AE02D" w:rsidR="00282B90" w:rsidRDefault="00282B90" w:rsidP="00282B90">
      <w:pPr>
        <w:spacing w:after="0" w:line="240" w:lineRule="auto"/>
        <w:jc w:val="both"/>
        <w:rPr>
          <w:rFonts w:ascii="Times New Roman" w:eastAsia="SimSun" w:hAnsi="Times New Roman" w:cs="Times New Roman"/>
          <w:sz w:val="24"/>
          <w:szCs w:val="24"/>
        </w:rPr>
      </w:pPr>
      <w:r>
        <w:rPr>
          <w:rFonts w:ascii="Times New Roman" w:hAnsi="Times New Roman"/>
          <w:sz w:val="24"/>
        </w:rPr>
        <w:t xml:space="preserve">Es </w:t>
      </w:r>
      <w:proofErr w:type="gramStart"/>
      <w:r>
        <w:rPr>
          <w:rFonts w:ascii="Times New Roman" w:hAnsi="Times New Roman"/>
          <w:sz w:val="24"/>
        </w:rPr>
        <w:t>ist</w:t>
      </w:r>
      <w:proofErr w:type="gramEnd"/>
      <w:r>
        <w:rPr>
          <w:rFonts w:ascii="Times New Roman" w:hAnsi="Times New Roman"/>
          <w:sz w:val="24"/>
        </w:rPr>
        <w:t xml:space="preserve"> </w:t>
      </w:r>
      <w:r w:rsidR="00710BAC">
        <w:rPr>
          <w:rFonts w:ascii="Times New Roman" w:hAnsi="Times New Roman"/>
          <w:sz w:val="24"/>
        </w:rPr>
        <w:t xml:space="preserve">vor diesem Hintergrund </w:t>
      </w:r>
      <w:r>
        <w:rPr>
          <w:rFonts w:ascii="Times New Roman" w:hAnsi="Times New Roman"/>
          <w:sz w:val="24"/>
        </w:rPr>
        <w:t xml:space="preserve">möglich, ein neues, ganzheitliches Modell </w:t>
      </w:r>
      <w:r w:rsidR="00710BAC">
        <w:rPr>
          <w:rFonts w:ascii="Times New Roman" w:hAnsi="Times New Roman"/>
          <w:sz w:val="24"/>
        </w:rPr>
        <w:t>für</w:t>
      </w:r>
      <w:r>
        <w:rPr>
          <w:rFonts w:ascii="Times New Roman" w:hAnsi="Times New Roman"/>
          <w:sz w:val="24"/>
        </w:rPr>
        <w:t xml:space="preserve"> Streitbeilegung und d</w:t>
      </w:r>
      <w:r w:rsidR="00772E77">
        <w:rPr>
          <w:rFonts w:ascii="Times New Roman" w:hAnsi="Times New Roman"/>
          <w:sz w:val="24"/>
        </w:rPr>
        <w:t>i</w:t>
      </w:r>
      <w:r>
        <w:rPr>
          <w:rFonts w:ascii="Times New Roman" w:hAnsi="Times New Roman"/>
          <w:sz w:val="24"/>
        </w:rPr>
        <w:t xml:space="preserve">e </w:t>
      </w:r>
      <w:r w:rsidR="00710BAC">
        <w:rPr>
          <w:rFonts w:ascii="Times New Roman" w:hAnsi="Times New Roman"/>
          <w:sz w:val="24"/>
        </w:rPr>
        <w:t xml:space="preserve">Regulierungslandschaft eines Staates </w:t>
      </w:r>
      <w:r>
        <w:rPr>
          <w:rFonts w:ascii="Times New Roman" w:hAnsi="Times New Roman"/>
          <w:sz w:val="24"/>
        </w:rPr>
        <w:t>zu postulieren, das folgende Elemente enthält:</w:t>
      </w:r>
    </w:p>
    <w:p w14:paraId="1A89D4A2" w14:textId="77777777" w:rsidR="003041F8" w:rsidRPr="00282B90" w:rsidRDefault="003041F8" w:rsidP="00282B90">
      <w:pPr>
        <w:spacing w:after="0" w:line="240" w:lineRule="auto"/>
        <w:jc w:val="both"/>
        <w:rPr>
          <w:rFonts w:ascii="Times New Roman" w:eastAsia="SimSun" w:hAnsi="Times New Roman" w:cs="Times New Roman"/>
          <w:sz w:val="24"/>
          <w:szCs w:val="24"/>
        </w:rPr>
      </w:pPr>
    </w:p>
    <w:p w14:paraId="34AF1076" w14:textId="1C93683E" w:rsidR="00282B90" w:rsidRDefault="00DE4BE4" w:rsidP="003041F8">
      <w:pPr>
        <w:numPr>
          <w:ilvl w:val="0"/>
          <w:numId w:val="5"/>
        </w:numPr>
        <w:spacing w:after="0" w:line="240" w:lineRule="auto"/>
        <w:ind w:left="360"/>
        <w:jc w:val="both"/>
        <w:rPr>
          <w:rFonts w:ascii="Times New Roman" w:eastAsia="SimSun" w:hAnsi="Times New Roman" w:cs="Times New Roman"/>
          <w:sz w:val="24"/>
          <w:szCs w:val="24"/>
        </w:rPr>
      </w:pPr>
      <w:r>
        <w:rPr>
          <w:rFonts w:ascii="Times New Roman" w:hAnsi="Times New Roman"/>
          <w:b/>
          <w:sz w:val="24"/>
        </w:rPr>
        <w:t>Umfassende Abdeckung durch ein C2B-Ombuds-System</w:t>
      </w:r>
      <w:r>
        <w:rPr>
          <w:rFonts w:ascii="Times New Roman" w:hAnsi="Times New Roman"/>
          <w:sz w:val="24"/>
        </w:rPr>
        <w:t xml:space="preserve">. Umfassende Abdeckung </w:t>
      </w:r>
      <w:r w:rsidR="00710BAC">
        <w:rPr>
          <w:rFonts w:ascii="Times New Roman" w:hAnsi="Times New Roman"/>
          <w:sz w:val="24"/>
        </w:rPr>
        <w:t xml:space="preserve">von </w:t>
      </w:r>
      <w:r>
        <w:rPr>
          <w:rFonts w:ascii="Times New Roman" w:hAnsi="Times New Roman"/>
          <w:sz w:val="24"/>
        </w:rPr>
        <w:t xml:space="preserve">Streitigkeiten zwischen </w:t>
      </w:r>
      <w:r>
        <w:rPr>
          <w:rFonts w:ascii="Times New Roman" w:hAnsi="Times New Roman"/>
          <w:i/>
          <w:sz w:val="24"/>
        </w:rPr>
        <w:t>Verbrauchern und Unternehmen</w:t>
      </w:r>
      <w:r w:rsidR="00710BAC">
        <w:rPr>
          <w:rFonts w:ascii="Times New Roman" w:hAnsi="Times New Roman"/>
          <w:i/>
          <w:sz w:val="24"/>
        </w:rPr>
        <w:t xml:space="preserve"> </w:t>
      </w:r>
      <w:r w:rsidR="00710BAC">
        <w:rPr>
          <w:rFonts w:ascii="Times New Roman" w:hAnsi="Times New Roman"/>
          <w:sz w:val="24"/>
        </w:rPr>
        <w:t xml:space="preserve">wird durch die ADR-Richtlinie </w:t>
      </w:r>
      <w:r w:rsidR="00772E77">
        <w:rPr>
          <w:rFonts w:ascii="Times New Roman" w:hAnsi="Times New Roman"/>
          <w:sz w:val="24"/>
        </w:rPr>
        <w:t xml:space="preserve">zwar schon </w:t>
      </w:r>
      <w:r w:rsidR="00710BAC">
        <w:rPr>
          <w:rFonts w:ascii="Times New Roman" w:hAnsi="Times New Roman"/>
          <w:sz w:val="24"/>
        </w:rPr>
        <w:t>angestrebt</w:t>
      </w:r>
      <w:r>
        <w:rPr>
          <w:rFonts w:ascii="Times New Roman" w:hAnsi="Times New Roman"/>
          <w:i/>
          <w:sz w:val="24"/>
        </w:rPr>
        <w:t>.</w:t>
      </w:r>
      <w:r>
        <w:rPr>
          <w:rFonts w:ascii="Times New Roman" w:hAnsi="Times New Roman"/>
          <w:sz w:val="24"/>
        </w:rPr>
        <w:t xml:space="preserve"> Das Modell sollte </w:t>
      </w:r>
      <w:r w:rsidR="00710BAC">
        <w:rPr>
          <w:rFonts w:ascii="Times New Roman" w:hAnsi="Times New Roman"/>
          <w:sz w:val="24"/>
        </w:rPr>
        <w:t xml:space="preserve">aber </w:t>
      </w:r>
      <w:r>
        <w:rPr>
          <w:rFonts w:ascii="Times New Roman" w:hAnsi="Times New Roman"/>
          <w:sz w:val="24"/>
        </w:rPr>
        <w:t>über die aktuellen Anforderungen der Verbraucher-ADR-Richtlinie wie oben angegeben hinausgehen und ein</w:t>
      </w:r>
      <w:r w:rsidR="00710BAC">
        <w:rPr>
          <w:rFonts w:ascii="Times New Roman" w:hAnsi="Times New Roman"/>
          <w:sz w:val="24"/>
        </w:rPr>
        <w:t>e</w:t>
      </w:r>
      <w:r>
        <w:rPr>
          <w:rFonts w:ascii="Times New Roman" w:hAnsi="Times New Roman"/>
          <w:sz w:val="24"/>
        </w:rPr>
        <w:t xml:space="preserve"> vereinfachte</w:t>
      </w:r>
      <w:r w:rsidR="00772E77">
        <w:rPr>
          <w:rFonts w:ascii="Times New Roman" w:hAnsi="Times New Roman"/>
          <w:sz w:val="24"/>
        </w:rPr>
        <w:t>, integrierte</w:t>
      </w:r>
      <w:r>
        <w:rPr>
          <w:rFonts w:ascii="Times New Roman" w:hAnsi="Times New Roman"/>
          <w:sz w:val="24"/>
        </w:rPr>
        <w:t xml:space="preserve"> </w:t>
      </w:r>
      <w:r w:rsidR="00710BAC">
        <w:rPr>
          <w:rFonts w:ascii="Times New Roman" w:hAnsi="Times New Roman"/>
          <w:sz w:val="24"/>
        </w:rPr>
        <w:t xml:space="preserve">Landschaft von </w:t>
      </w:r>
      <w:r>
        <w:rPr>
          <w:rFonts w:ascii="Times New Roman" w:hAnsi="Times New Roman"/>
          <w:sz w:val="24"/>
        </w:rPr>
        <w:t>ganzheitliche</w:t>
      </w:r>
      <w:r w:rsidR="00710BAC">
        <w:rPr>
          <w:rFonts w:ascii="Times New Roman" w:hAnsi="Times New Roman"/>
          <w:sz w:val="24"/>
        </w:rPr>
        <w:t>r</w:t>
      </w:r>
      <w:r>
        <w:rPr>
          <w:rFonts w:ascii="Times New Roman" w:hAnsi="Times New Roman"/>
          <w:sz w:val="24"/>
        </w:rPr>
        <w:t xml:space="preserve"> Beratung, </w:t>
      </w:r>
      <w:proofErr w:type="gramStart"/>
      <w:r>
        <w:rPr>
          <w:rFonts w:ascii="Times New Roman" w:hAnsi="Times New Roman"/>
          <w:sz w:val="24"/>
        </w:rPr>
        <w:t>Streitbeilegung</w:t>
      </w:r>
      <w:proofErr w:type="gramEnd"/>
      <w:r>
        <w:rPr>
          <w:rFonts w:ascii="Times New Roman" w:hAnsi="Times New Roman"/>
          <w:sz w:val="24"/>
        </w:rPr>
        <w:t xml:space="preserve"> und Regulierungsbehörden schaffen. Damit würden zwei Entwicklungen angestoßen: Erstens eine Migration der vorhandenen, an Schiedsgerichtsverfahren orientierten ADR-Systeme in Richtung eines Ombuds-Modells</w:t>
      </w:r>
      <w:r w:rsidR="00710BAC">
        <w:rPr>
          <w:rFonts w:ascii="Times New Roman" w:hAnsi="Times New Roman"/>
          <w:sz w:val="24"/>
        </w:rPr>
        <w:t>,</w:t>
      </w:r>
      <w:r>
        <w:rPr>
          <w:rFonts w:ascii="Times New Roman" w:hAnsi="Times New Roman"/>
          <w:sz w:val="24"/>
        </w:rPr>
        <w:t xml:space="preserve"> und zweitens die Veränderung des vorhandenen Ombuds-Umfelds der einzelnen Branchen, d.h. </w:t>
      </w:r>
      <w:proofErr w:type="gramStart"/>
      <w:r w:rsidR="00710BAC">
        <w:rPr>
          <w:rFonts w:ascii="Times New Roman" w:hAnsi="Times New Roman"/>
          <w:sz w:val="24"/>
        </w:rPr>
        <w:t>das</w:t>
      </w:r>
      <w:proofErr w:type="gramEnd"/>
      <w:r w:rsidR="00710BAC">
        <w:rPr>
          <w:rFonts w:ascii="Times New Roman" w:hAnsi="Times New Roman"/>
          <w:sz w:val="24"/>
        </w:rPr>
        <w:t xml:space="preserve"> Zusammenwachsen der vorhandenen sektoralen Ombudsstellen zu einer kleinen Zahl </w:t>
      </w:r>
      <w:r w:rsidR="00772E77">
        <w:rPr>
          <w:rFonts w:ascii="Times New Roman" w:hAnsi="Times New Roman"/>
          <w:sz w:val="24"/>
        </w:rPr>
        <w:t>m</w:t>
      </w:r>
      <w:r w:rsidR="00710BAC">
        <w:rPr>
          <w:rFonts w:ascii="Times New Roman" w:hAnsi="Times New Roman"/>
          <w:sz w:val="24"/>
        </w:rPr>
        <w:t>it starker Interoperabilität und Konsistenz in ihren Verfahrensweisen</w:t>
      </w:r>
      <w:r>
        <w:rPr>
          <w:rFonts w:ascii="Times New Roman" w:hAnsi="Times New Roman"/>
          <w:sz w:val="24"/>
        </w:rPr>
        <w:t xml:space="preserve">. Die Lücken in der Abdeckung müssen geschlossen werden. Die Funktion </w:t>
      </w:r>
      <w:r w:rsidR="00710BAC">
        <w:rPr>
          <w:rFonts w:ascii="Times New Roman" w:hAnsi="Times New Roman"/>
          <w:sz w:val="24"/>
        </w:rPr>
        <w:t>der Auffangstelle für Branchen ohne sektorale Lösung</w:t>
      </w:r>
      <w:r>
        <w:rPr>
          <w:rFonts w:ascii="Times New Roman" w:hAnsi="Times New Roman"/>
          <w:sz w:val="24"/>
        </w:rPr>
        <w:t xml:space="preserve"> könnte idealerweise in ein vorhandenes Ombuds-System integriert werden; die vorhandenen Ombuds</w:t>
      </w:r>
      <w:r w:rsidR="00710BAC">
        <w:rPr>
          <w:rFonts w:ascii="Times New Roman" w:hAnsi="Times New Roman"/>
          <w:sz w:val="24"/>
        </w:rPr>
        <w:t>stellen</w:t>
      </w:r>
      <w:r>
        <w:rPr>
          <w:rFonts w:ascii="Times New Roman" w:hAnsi="Times New Roman"/>
          <w:sz w:val="24"/>
        </w:rPr>
        <w:t xml:space="preserve"> sollten funktion</w:t>
      </w:r>
      <w:r w:rsidR="00710BAC">
        <w:rPr>
          <w:rFonts w:ascii="Times New Roman" w:hAnsi="Times New Roman"/>
          <w:sz w:val="24"/>
        </w:rPr>
        <w:t xml:space="preserve">ale Interoperabilität herstellen, </w:t>
      </w:r>
      <w:r>
        <w:rPr>
          <w:rFonts w:ascii="Times New Roman" w:hAnsi="Times New Roman"/>
          <w:sz w:val="24"/>
        </w:rPr>
        <w:t>und zumindest einige davon sollten zusammengeführt werden.</w:t>
      </w:r>
    </w:p>
    <w:p w14:paraId="3B174EE4" w14:textId="77777777" w:rsidR="00DE4BE4" w:rsidRDefault="00DE4BE4" w:rsidP="003041F8">
      <w:pPr>
        <w:spacing w:after="0" w:line="240" w:lineRule="auto"/>
        <w:ind w:left="360"/>
        <w:jc w:val="both"/>
        <w:rPr>
          <w:rFonts w:ascii="Times New Roman" w:eastAsia="SimSun" w:hAnsi="Times New Roman" w:cs="Times New Roman"/>
          <w:sz w:val="24"/>
          <w:szCs w:val="24"/>
        </w:rPr>
      </w:pPr>
    </w:p>
    <w:p w14:paraId="083A5A5F" w14:textId="2ECA258D" w:rsidR="00DE4BE4" w:rsidRPr="00282B90" w:rsidRDefault="00633B1E" w:rsidP="003041F8">
      <w:pPr>
        <w:numPr>
          <w:ilvl w:val="0"/>
          <w:numId w:val="5"/>
        </w:numPr>
        <w:spacing w:after="0" w:line="240" w:lineRule="auto"/>
        <w:ind w:left="360"/>
        <w:jc w:val="both"/>
        <w:rPr>
          <w:rFonts w:ascii="Times New Roman" w:eastAsia="SimSun" w:hAnsi="Times New Roman" w:cs="Times New Roman"/>
          <w:sz w:val="24"/>
          <w:szCs w:val="24"/>
        </w:rPr>
      </w:pPr>
      <w:r>
        <w:rPr>
          <w:rFonts w:ascii="Times New Roman" w:hAnsi="Times New Roman"/>
          <w:b/>
          <w:sz w:val="24"/>
        </w:rPr>
        <w:t>Rechtsdurchsetzung durch den Staat.</w:t>
      </w:r>
      <w:r w:rsidR="008803BC">
        <w:rPr>
          <w:rFonts w:ascii="Times New Roman" w:hAnsi="Times New Roman"/>
          <w:b/>
          <w:sz w:val="24"/>
        </w:rPr>
        <w:t xml:space="preserve"> </w:t>
      </w:r>
      <w:r w:rsidR="009E2013">
        <w:rPr>
          <w:rFonts w:ascii="Times New Roman" w:hAnsi="Times New Roman"/>
          <w:sz w:val="24"/>
        </w:rPr>
        <w:t>Die Landschaft der Verbraucher-</w:t>
      </w:r>
      <w:r>
        <w:rPr>
          <w:rFonts w:ascii="Times New Roman" w:hAnsi="Times New Roman"/>
          <w:sz w:val="24"/>
        </w:rPr>
        <w:t>Ombuds</w:t>
      </w:r>
      <w:r w:rsidR="009E2013">
        <w:rPr>
          <w:rFonts w:ascii="Times New Roman" w:hAnsi="Times New Roman"/>
          <w:sz w:val="24"/>
        </w:rPr>
        <w:t>stellen</w:t>
      </w:r>
      <w:r>
        <w:rPr>
          <w:rFonts w:ascii="Times New Roman" w:hAnsi="Times New Roman"/>
          <w:sz w:val="24"/>
        </w:rPr>
        <w:t xml:space="preserve"> sollte parallel zu einem kohärenten, ganzheitlichen Umfeld der Regulierungs- und Rechtsbehörden </w:t>
      </w:r>
      <w:r w:rsidR="009E2013">
        <w:rPr>
          <w:rFonts w:ascii="Times New Roman" w:hAnsi="Times New Roman"/>
          <w:sz w:val="24"/>
        </w:rPr>
        <w:t>arbeiten</w:t>
      </w:r>
      <w:r>
        <w:rPr>
          <w:rFonts w:ascii="Times New Roman" w:hAnsi="Times New Roman"/>
          <w:sz w:val="24"/>
        </w:rPr>
        <w:t xml:space="preserve">. In Großbritannien wurde seit 2010 die </w:t>
      </w:r>
      <w:r w:rsidR="009E2013">
        <w:rPr>
          <w:rFonts w:ascii="Times New Roman" w:hAnsi="Times New Roman"/>
          <w:sz w:val="24"/>
        </w:rPr>
        <w:t>Landschaft der Verbraucherschutzregulierung</w:t>
      </w:r>
      <w:r>
        <w:rPr>
          <w:rFonts w:ascii="Times New Roman" w:hAnsi="Times New Roman"/>
          <w:sz w:val="24"/>
        </w:rPr>
        <w:t xml:space="preserve"> erheblich umgestaltet. Die Beziehungen zwischen den zahlreichen </w:t>
      </w:r>
      <w:r w:rsidR="009E2013">
        <w:rPr>
          <w:rFonts w:ascii="Times New Roman" w:hAnsi="Times New Roman"/>
          <w:sz w:val="24"/>
        </w:rPr>
        <w:t xml:space="preserve">branchenspezifischen </w:t>
      </w:r>
      <w:r>
        <w:rPr>
          <w:rFonts w:ascii="Times New Roman" w:hAnsi="Times New Roman"/>
          <w:sz w:val="24"/>
        </w:rPr>
        <w:t xml:space="preserve">Regulierungsbehörden und den zugehörigen CDR-Systemen </w:t>
      </w:r>
      <w:proofErr w:type="gramStart"/>
      <w:r>
        <w:rPr>
          <w:rFonts w:ascii="Times New Roman" w:hAnsi="Times New Roman"/>
          <w:sz w:val="24"/>
        </w:rPr>
        <w:t>sind</w:t>
      </w:r>
      <w:proofErr w:type="gramEnd"/>
      <w:r>
        <w:rPr>
          <w:rFonts w:ascii="Times New Roman" w:hAnsi="Times New Roman"/>
          <w:sz w:val="24"/>
        </w:rPr>
        <w:t xml:space="preserve"> gut. Die Kooperation zwischen den allgemeinen lokalen </w:t>
      </w:r>
      <w:r w:rsidR="009E2013">
        <w:rPr>
          <w:rFonts w:ascii="Times New Roman" w:hAnsi="Times New Roman"/>
          <w:sz w:val="24"/>
        </w:rPr>
        <w:t xml:space="preserve">Wirtschaftsregulierungsstellen </w:t>
      </w:r>
      <w:r>
        <w:rPr>
          <w:rFonts w:ascii="Times New Roman" w:hAnsi="Times New Roman"/>
          <w:sz w:val="24"/>
        </w:rPr>
        <w:t>und deren nationale</w:t>
      </w:r>
      <w:r w:rsidR="009E2013">
        <w:rPr>
          <w:rFonts w:ascii="Times New Roman" w:hAnsi="Times New Roman"/>
          <w:sz w:val="24"/>
        </w:rPr>
        <w:t>r</w:t>
      </w:r>
      <w:r>
        <w:rPr>
          <w:rFonts w:ascii="Times New Roman" w:hAnsi="Times New Roman"/>
          <w:sz w:val="24"/>
        </w:rPr>
        <w:t xml:space="preserve"> Koordination einerseits sowie dem CDR- und Ombuds-Netzwerk andererseits sollte jedoch überprüft werden, um volle Funktionsfähigkeit sicherzustellen. Alle Institutionen zur öffentlichen Durchsetzung des Rechts sollten </w:t>
      </w:r>
      <w:r w:rsidR="009E2013">
        <w:rPr>
          <w:rFonts w:ascii="Times New Roman" w:hAnsi="Times New Roman"/>
          <w:sz w:val="24"/>
        </w:rPr>
        <w:t xml:space="preserve">– wie bei manchen </w:t>
      </w:r>
      <w:r>
        <w:rPr>
          <w:rFonts w:ascii="Times New Roman" w:hAnsi="Times New Roman"/>
          <w:sz w:val="24"/>
        </w:rPr>
        <w:t>bereits</w:t>
      </w:r>
      <w:r w:rsidR="009E2013">
        <w:rPr>
          <w:rFonts w:ascii="Times New Roman" w:hAnsi="Times New Roman"/>
          <w:sz w:val="24"/>
        </w:rPr>
        <w:t xml:space="preserve"> der Fall –</w:t>
      </w:r>
      <w:r>
        <w:rPr>
          <w:rFonts w:ascii="Times New Roman" w:hAnsi="Times New Roman"/>
          <w:sz w:val="24"/>
        </w:rPr>
        <w:t xml:space="preserve"> </w:t>
      </w:r>
      <w:r w:rsidR="009E2013">
        <w:rPr>
          <w:rFonts w:ascii="Times New Roman" w:hAnsi="Times New Roman"/>
          <w:sz w:val="24"/>
        </w:rPr>
        <w:t>bevollmächtigt sein</w:t>
      </w:r>
      <w:r>
        <w:rPr>
          <w:rFonts w:ascii="Times New Roman" w:hAnsi="Times New Roman"/>
          <w:sz w:val="24"/>
        </w:rPr>
        <w:t xml:space="preserve">, ein Gericht anzurufen, um </w:t>
      </w:r>
      <w:r w:rsidR="00B01815">
        <w:rPr>
          <w:rFonts w:ascii="Times New Roman" w:hAnsi="Times New Roman"/>
          <w:sz w:val="24"/>
        </w:rPr>
        <w:t xml:space="preserve">sowohl </w:t>
      </w:r>
      <w:r>
        <w:rPr>
          <w:rFonts w:ascii="Times New Roman" w:hAnsi="Times New Roman"/>
          <w:sz w:val="24"/>
        </w:rPr>
        <w:t xml:space="preserve">in Einzelfällen </w:t>
      </w:r>
      <w:r w:rsidR="00B01815">
        <w:rPr>
          <w:rFonts w:ascii="Times New Roman" w:hAnsi="Times New Roman"/>
          <w:sz w:val="24"/>
        </w:rPr>
        <w:t xml:space="preserve">als auch </w:t>
      </w:r>
      <w:r>
        <w:rPr>
          <w:rFonts w:ascii="Times New Roman" w:hAnsi="Times New Roman"/>
          <w:sz w:val="24"/>
        </w:rPr>
        <w:t xml:space="preserve">bei </w:t>
      </w:r>
      <w:r w:rsidR="009E2013">
        <w:rPr>
          <w:rFonts w:ascii="Times New Roman" w:hAnsi="Times New Roman"/>
          <w:sz w:val="24"/>
        </w:rPr>
        <w:t>Fällen mit v</w:t>
      </w:r>
      <w:r w:rsidR="00B01815">
        <w:rPr>
          <w:rFonts w:ascii="Times New Roman" w:hAnsi="Times New Roman"/>
          <w:sz w:val="24"/>
        </w:rPr>
        <w:t>ielen Betroffenen das Recht</w:t>
      </w:r>
      <w:r w:rsidR="009E2013">
        <w:rPr>
          <w:rFonts w:ascii="Times New Roman" w:hAnsi="Times New Roman"/>
          <w:sz w:val="24"/>
        </w:rPr>
        <w:t xml:space="preserve"> </w:t>
      </w:r>
      <w:r w:rsidR="00B01815">
        <w:rPr>
          <w:rFonts w:ascii="Times New Roman" w:hAnsi="Times New Roman"/>
          <w:sz w:val="24"/>
        </w:rPr>
        <w:t xml:space="preserve">außerdem </w:t>
      </w:r>
      <w:r w:rsidR="009E2013">
        <w:rPr>
          <w:rFonts w:ascii="Times New Roman" w:hAnsi="Times New Roman"/>
          <w:sz w:val="24"/>
        </w:rPr>
        <w:t xml:space="preserve">mit diesem </w:t>
      </w:r>
      <w:r>
        <w:rPr>
          <w:rFonts w:ascii="Times New Roman" w:hAnsi="Times New Roman"/>
          <w:sz w:val="24"/>
        </w:rPr>
        <w:t>zusätzliche</w:t>
      </w:r>
      <w:r w:rsidR="009E2013">
        <w:rPr>
          <w:rFonts w:ascii="Times New Roman" w:hAnsi="Times New Roman"/>
          <w:sz w:val="24"/>
        </w:rPr>
        <w:t>n</w:t>
      </w:r>
      <w:r>
        <w:rPr>
          <w:rFonts w:ascii="Times New Roman" w:hAnsi="Times New Roman"/>
          <w:sz w:val="24"/>
        </w:rPr>
        <w:t xml:space="preserve"> Mittel </w:t>
      </w:r>
      <w:r w:rsidR="009E2013">
        <w:rPr>
          <w:rFonts w:ascii="Times New Roman" w:hAnsi="Times New Roman"/>
          <w:sz w:val="24"/>
        </w:rPr>
        <w:t>d</w:t>
      </w:r>
      <w:r>
        <w:rPr>
          <w:rFonts w:ascii="Times New Roman" w:hAnsi="Times New Roman"/>
          <w:sz w:val="24"/>
        </w:rPr>
        <w:t>urchsetz</w:t>
      </w:r>
      <w:r w:rsidR="009E2013">
        <w:rPr>
          <w:rFonts w:ascii="Times New Roman" w:hAnsi="Times New Roman"/>
          <w:sz w:val="24"/>
        </w:rPr>
        <w:t>en</w:t>
      </w:r>
      <w:r>
        <w:rPr>
          <w:rFonts w:ascii="Times New Roman" w:hAnsi="Times New Roman"/>
          <w:sz w:val="24"/>
        </w:rPr>
        <w:t xml:space="preserve"> zu k</w:t>
      </w:r>
      <w:r w:rsidR="009E2013">
        <w:rPr>
          <w:rFonts w:ascii="Times New Roman" w:hAnsi="Times New Roman"/>
          <w:sz w:val="24"/>
        </w:rPr>
        <w:t>önne</w:t>
      </w:r>
      <w:r>
        <w:rPr>
          <w:rFonts w:ascii="Times New Roman" w:hAnsi="Times New Roman"/>
          <w:sz w:val="24"/>
        </w:rPr>
        <w:t>n.</w:t>
      </w:r>
    </w:p>
    <w:p w14:paraId="41A9A44F" w14:textId="77777777" w:rsidR="00282B90" w:rsidRPr="00282B90" w:rsidRDefault="00282B90" w:rsidP="003041F8">
      <w:pPr>
        <w:spacing w:after="0" w:line="240" w:lineRule="auto"/>
        <w:ind w:left="360"/>
        <w:jc w:val="both"/>
        <w:rPr>
          <w:rFonts w:ascii="Times New Roman" w:eastAsia="SimSun" w:hAnsi="Times New Roman" w:cs="Times New Roman"/>
          <w:sz w:val="24"/>
          <w:szCs w:val="24"/>
        </w:rPr>
      </w:pPr>
    </w:p>
    <w:p w14:paraId="24115493" w14:textId="6C35DF55" w:rsidR="00282B90" w:rsidRPr="00282B90" w:rsidRDefault="00633B1E" w:rsidP="003041F8">
      <w:pPr>
        <w:numPr>
          <w:ilvl w:val="0"/>
          <w:numId w:val="5"/>
        </w:numPr>
        <w:spacing w:after="0" w:line="240" w:lineRule="auto"/>
        <w:ind w:left="360"/>
        <w:jc w:val="both"/>
        <w:rPr>
          <w:rFonts w:ascii="Times New Roman" w:eastAsia="SimSun" w:hAnsi="Times New Roman" w:cs="Times New Roman"/>
          <w:sz w:val="24"/>
          <w:szCs w:val="24"/>
        </w:rPr>
      </w:pPr>
      <w:r>
        <w:rPr>
          <w:rFonts w:ascii="Times New Roman" w:hAnsi="Times New Roman"/>
          <w:b/>
          <w:sz w:val="24"/>
        </w:rPr>
        <w:lastRenderedPageBreak/>
        <w:t>Ombudsmänner im öffentlichen Sektor</w:t>
      </w:r>
      <w:r>
        <w:rPr>
          <w:rFonts w:ascii="Times New Roman" w:hAnsi="Times New Roman"/>
          <w:sz w:val="24"/>
        </w:rPr>
        <w:t>. Modernisierte Ombuds</w:t>
      </w:r>
      <w:r w:rsidR="00D31C79">
        <w:rPr>
          <w:rFonts w:ascii="Times New Roman" w:hAnsi="Times New Roman"/>
          <w:sz w:val="24"/>
        </w:rPr>
        <w:t>-Re</w:t>
      </w:r>
      <w:r w:rsidR="00C81680">
        <w:rPr>
          <w:rFonts w:ascii="Times New Roman" w:hAnsi="Times New Roman"/>
          <w:sz w:val="24"/>
        </w:rPr>
        <w:t>gelung</w:t>
      </w:r>
      <w:r>
        <w:rPr>
          <w:rFonts w:ascii="Times New Roman" w:hAnsi="Times New Roman"/>
          <w:sz w:val="24"/>
        </w:rPr>
        <w:t xml:space="preserve">en sollte es auch für Beschwerden von Bürgern wegen </w:t>
      </w:r>
      <w:r>
        <w:rPr>
          <w:rFonts w:ascii="Times New Roman" w:hAnsi="Times New Roman"/>
          <w:i/>
          <w:sz w:val="24"/>
        </w:rPr>
        <w:t>öffentliche</w:t>
      </w:r>
      <w:r w:rsidR="00C81680">
        <w:rPr>
          <w:rFonts w:ascii="Times New Roman" w:hAnsi="Times New Roman"/>
          <w:i/>
          <w:sz w:val="24"/>
        </w:rPr>
        <w:t>r</w:t>
      </w:r>
      <w:r>
        <w:rPr>
          <w:rFonts w:ascii="Times New Roman" w:hAnsi="Times New Roman"/>
          <w:i/>
          <w:sz w:val="24"/>
        </w:rPr>
        <w:t xml:space="preserve"> Dienstleistungen</w:t>
      </w:r>
      <w:r>
        <w:rPr>
          <w:rFonts w:ascii="Times New Roman" w:hAnsi="Times New Roman"/>
          <w:sz w:val="24"/>
        </w:rPr>
        <w:t xml:space="preserve"> geben. Dies wurde kürzlich in Großbritannien vom Public Administration Select Committee</w:t>
      </w:r>
      <w:r>
        <w:rPr>
          <w:rFonts w:ascii="Times New Roman" w:hAnsi="Times New Roman"/>
          <w:sz w:val="24"/>
          <w:vertAlign w:val="superscript"/>
        </w:rPr>
        <w:footnoteReference w:id="25"/>
      </w:r>
      <w:r>
        <w:rPr>
          <w:rFonts w:ascii="Times New Roman" w:hAnsi="Times New Roman"/>
          <w:sz w:val="24"/>
        </w:rPr>
        <w:t xml:space="preserve"> vorgeschlagen und es scheint so, </w:t>
      </w:r>
      <w:proofErr w:type="gramStart"/>
      <w:r>
        <w:rPr>
          <w:rFonts w:ascii="Times New Roman" w:hAnsi="Times New Roman"/>
          <w:sz w:val="24"/>
        </w:rPr>
        <w:t>als</w:t>
      </w:r>
      <w:proofErr w:type="gramEnd"/>
      <w:r>
        <w:rPr>
          <w:rFonts w:ascii="Times New Roman" w:hAnsi="Times New Roman"/>
          <w:sz w:val="24"/>
        </w:rPr>
        <w:t xml:space="preserve"> ob die aktuelle Regierung diese Idee unterstützt. Dazu müssen die </w:t>
      </w:r>
      <w:r w:rsidR="00C81680">
        <w:rPr>
          <w:rFonts w:ascii="Times New Roman" w:hAnsi="Times New Roman"/>
          <w:sz w:val="24"/>
        </w:rPr>
        <w:t>Regelung</w:t>
      </w:r>
      <w:r>
        <w:rPr>
          <w:rFonts w:ascii="Times New Roman" w:hAnsi="Times New Roman"/>
          <w:sz w:val="24"/>
        </w:rPr>
        <w:t>en für den Zug</w:t>
      </w:r>
      <w:r w:rsidR="00C81680">
        <w:rPr>
          <w:rFonts w:ascii="Times New Roman" w:hAnsi="Times New Roman"/>
          <w:sz w:val="24"/>
        </w:rPr>
        <w:t>ang zu den</w:t>
      </w:r>
      <w:r>
        <w:rPr>
          <w:rFonts w:ascii="Times New Roman" w:hAnsi="Times New Roman"/>
          <w:sz w:val="24"/>
        </w:rPr>
        <w:t xml:space="preserve"> vorhandenen Institutionen PHSO</w:t>
      </w:r>
      <w:r w:rsidR="00BD7764">
        <w:rPr>
          <w:rStyle w:val="Funotenzeichen"/>
          <w:rFonts w:ascii="Times New Roman" w:hAnsi="Times New Roman"/>
          <w:sz w:val="24"/>
        </w:rPr>
        <w:footnoteReference w:id="26"/>
      </w:r>
      <w:r w:rsidR="005C373D">
        <w:rPr>
          <w:rFonts w:ascii="Times New Roman" w:hAnsi="Times New Roman"/>
          <w:sz w:val="24"/>
        </w:rPr>
        <w:t xml:space="preserve"> </w:t>
      </w:r>
      <w:r>
        <w:rPr>
          <w:rFonts w:ascii="Times New Roman" w:hAnsi="Times New Roman"/>
          <w:sz w:val="24"/>
        </w:rPr>
        <w:t>und LGO</w:t>
      </w:r>
      <w:r w:rsidR="00BD7764">
        <w:rPr>
          <w:rStyle w:val="Funotenzeichen"/>
          <w:rFonts w:ascii="Times New Roman" w:hAnsi="Times New Roman"/>
          <w:sz w:val="24"/>
        </w:rPr>
        <w:footnoteReference w:id="27"/>
      </w:r>
      <w:r>
        <w:rPr>
          <w:rFonts w:ascii="Times New Roman" w:hAnsi="Times New Roman"/>
          <w:sz w:val="24"/>
        </w:rPr>
        <w:t xml:space="preserve"> reformiert werden.</w:t>
      </w:r>
      <w:r>
        <w:rPr>
          <w:rStyle w:val="Funotenzeichen"/>
          <w:rFonts w:ascii="Times New Roman" w:hAnsi="Times New Roman"/>
          <w:sz w:val="24"/>
        </w:rPr>
        <w:footnoteReference w:id="28"/>
      </w:r>
      <w:r>
        <w:rPr>
          <w:rFonts w:ascii="Times New Roman" w:hAnsi="Times New Roman"/>
          <w:sz w:val="24"/>
        </w:rPr>
        <w:t xml:space="preserve"> Idealerweise würden damit auch die Grundfunktionen der Ombuds</w:t>
      </w:r>
      <w:r w:rsidR="00C81680">
        <w:rPr>
          <w:rFonts w:ascii="Times New Roman" w:hAnsi="Times New Roman"/>
          <w:sz w:val="24"/>
        </w:rPr>
        <w:t>stellen</w:t>
      </w:r>
      <w:r>
        <w:rPr>
          <w:rFonts w:ascii="Times New Roman" w:hAnsi="Times New Roman"/>
          <w:sz w:val="24"/>
        </w:rPr>
        <w:t xml:space="preserve"> für den öffentlichen Sektor einbezogen, um der zunehmenden öffentlichen Erwartung zu entsprechen, dass Einzelbeschwerden bearbeitet und systemische und Verhaltensprobleme untersucht werden. Ein solcher Ansatz würde auch die vorhandenen Abgrenzungsprobleme </w:t>
      </w:r>
      <w:r w:rsidR="00DE05CB">
        <w:rPr>
          <w:rFonts w:ascii="Times New Roman" w:hAnsi="Times New Roman"/>
          <w:sz w:val="24"/>
        </w:rPr>
        <w:t>bei de</w:t>
      </w:r>
      <w:r>
        <w:rPr>
          <w:rFonts w:ascii="Times New Roman" w:hAnsi="Times New Roman"/>
          <w:sz w:val="24"/>
        </w:rPr>
        <w:t xml:space="preserve">r </w:t>
      </w:r>
      <w:r w:rsidR="00DE05CB">
        <w:rPr>
          <w:rFonts w:ascii="Times New Roman" w:hAnsi="Times New Roman"/>
          <w:sz w:val="24"/>
        </w:rPr>
        <w:t>Zuständigkeit</w:t>
      </w:r>
      <w:r>
        <w:rPr>
          <w:rFonts w:ascii="Times New Roman" w:hAnsi="Times New Roman"/>
          <w:sz w:val="24"/>
        </w:rPr>
        <w:t xml:space="preserve"> der Ombuds</w:t>
      </w:r>
      <w:r w:rsidR="00DE05CB">
        <w:rPr>
          <w:rFonts w:ascii="Times New Roman" w:hAnsi="Times New Roman"/>
          <w:sz w:val="24"/>
        </w:rPr>
        <w:t>stellen</w:t>
      </w:r>
      <w:r>
        <w:rPr>
          <w:rFonts w:ascii="Times New Roman" w:hAnsi="Times New Roman"/>
          <w:sz w:val="24"/>
        </w:rPr>
        <w:t xml:space="preserve"> beseitigen und einen nahtlosen </w:t>
      </w:r>
      <w:r w:rsidR="00DE05CB">
        <w:rPr>
          <w:rFonts w:ascii="Times New Roman" w:hAnsi="Times New Roman"/>
          <w:sz w:val="24"/>
        </w:rPr>
        <w:t>Zu</w:t>
      </w:r>
      <w:r>
        <w:rPr>
          <w:rFonts w:ascii="Times New Roman" w:hAnsi="Times New Roman"/>
          <w:sz w:val="24"/>
        </w:rPr>
        <w:t xml:space="preserve">gang gewährleisten, unabhängig davon, ob die öffentliche </w:t>
      </w:r>
      <w:r>
        <w:rPr>
          <w:rFonts w:ascii="Times New Roman" w:hAnsi="Times New Roman"/>
          <w:i/>
          <w:sz w:val="24"/>
        </w:rPr>
        <w:t>Leistung</w:t>
      </w:r>
      <w:r w:rsidR="008803BC">
        <w:rPr>
          <w:rFonts w:ascii="Times New Roman" w:hAnsi="Times New Roman"/>
          <w:i/>
          <w:sz w:val="24"/>
        </w:rPr>
        <w:t xml:space="preserve"> </w:t>
      </w:r>
      <w:r>
        <w:rPr>
          <w:rFonts w:ascii="Times New Roman" w:hAnsi="Times New Roman"/>
          <w:sz w:val="24"/>
        </w:rPr>
        <w:t>durch die öffentliche Hand oder durch eine private Einrichtung erbracht wird.</w:t>
      </w:r>
    </w:p>
    <w:p w14:paraId="47E65821" w14:textId="77777777" w:rsidR="00282B90" w:rsidRPr="00282B90" w:rsidRDefault="00282B90" w:rsidP="003041F8">
      <w:pPr>
        <w:spacing w:after="0" w:line="240" w:lineRule="auto"/>
        <w:ind w:left="360"/>
        <w:rPr>
          <w:rFonts w:ascii="Times New Roman" w:eastAsia="SimSun" w:hAnsi="Times New Roman" w:cs="Times New Roman"/>
          <w:sz w:val="24"/>
          <w:szCs w:val="24"/>
        </w:rPr>
      </w:pPr>
    </w:p>
    <w:p w14:paraId="6ACFC3D3" w14:textId="6DECB152" w:rsidR="00282B90" w:rsidRDefault="00633B1E" w:rsidP="003041F8">
      <w:pPr>
        <w:numPr>
          <w:ilvl w:val="0"/>
          <w:numId w:val="5"/>
        </w:numPr>
        <w:spacing w:after="0" w:line="240" w:lineRule="auto"/>
        <w:ind w:left="360"/>
        <w:jc w:val="both"/>
        <w:rPr>
          <w:rFonts w:ascii="Times New Roman" w:eastAsia="Times New Roman" w:hAnsi="Times New Roman" w:cs="Times New Roman"/>
          <w:sz w:val="24"/>
          <w:szCs w:val="24"/>
        </w:rPr>
      </w:pPr>
      <w:r>
        <w:rPr>
          <w:rFonts w:ascii="Times New Roman" w:hAnsi="Times New Roman"/>
          <w:b/>
          <w:sz w:val="24"/>
        </w:rPr>
        <w:t>Schadensersatz für Personenschäden</w:t>
      </w:r>
      <w:r>
        <w:rPr>
          <w:rFonts w:ascii="Times New Roman" w:hAnsi="Times New Roman"/>
          <w:sz w:val="24"/>
        </w:rPr>
        <w:t xml:space="preserve">. Ein nach dem Schadensersatz-Prinzip funktionierendes Rahmenwerk für alle Ansprüche wegen </w:t>
      </w:r>
      <w:r>
        <w:rPr>
          <w:rFonts w:ascii="Times New Roman" w:hAnsi="Times New Roman"/>
          <w:i/>
          <w:sz w:val="24"/>
        </w:rPr>
        <w:t>Personenschäden</w:t>
      </w:r>
      <w:r>
        <w:rPr>
          <w:rFonts w:ascii="Times New Roman" w:hAnsi="Times New Roman"/>
          <w:sz w:val="24"/>
        </w:rPr>
        <w:t>. Zurzeit laufen Untersuchungen in diesem Bereich.</w:t>
      </w:r>
      <w:r>
        <w:rPr>
          <w:rFonts w:ascii="Times New Roman" w:hAnsi="Times New Roman"/>
          <w:sz w:val="24"/>
          <w:vertAlign w:val="superscript"/>
        </w:rPr>
        <w:footnoteReference w:id="29"/>
      </w:r>
      <w:r>
        <w:rPr>
          <w:rFonts w:ascii="Times New Roman" w:hAnsi="Times New Roman"/>
          <w:sz w:val="24"/>
        </w:rPr>
        <w:t xml:space="preserve"> Ein zukünftiges mögliches Modell könnte aus einem Untersuchungsgremium und einer Rückversicherung bestehen, sodass Transaktionskosten und Vermittler (Anwälte und Rechtskosten) entfallen. Die Struktur würde idealerweise verschiedene Risiko</w:t>
      </w:r>
      <w:r w:rsidR="00AF207F">
        <w:rPr>
          <w:rFonts w:ascii="Times New Roman" w:hAnsi="Times New Roman"/>
          <w:sz w:val="24"/>
        </w:rPr>
        <w:t>pools</w:t>
      </w:r>
      <w:r>
        <w:rPr>
          <w:rFonts w:ascii="Times New Roman" w:hAnsi="Times New Roman"/>
          <w:sz w:val="24"/>
        </w:rPr>
        <w:t xml:space="preserve"> für alle Arten von Verletzungen einschließen, beispielsweise</w:t>
      </w:r>
      <w:r w:rsidR="00AF207F">
        <w:rPr>
          <w:rFonts w:ascii="Times New Roman" w:hAnsi="Times New Roman"/>
          <w:sz w:val="24"/>
        </w:rPr>
        <w:t xml:space="preserve"> Verkehrs</w:t>
      </w:r>
      <w:r>
        <w:rPr>
          <w:rFonts w:ascii="Times New Roman" w:hAnsi="Times New Roman"/>
          <w:sz w:val="24"/>
        </w:rPr>
        <w:t xml:space="preserve">unfälle, Arbeitsunfälle, Personenschäden im Gesundheitswesen, durch Medikamente, </w:t>
      </w:r>
      <w:proofErr w:type="gramStart"/>
      <w:r>
        <w:rPr>
          <w:rFonts w:ascii="Times New Roman" w:hAnsi="Times New Roman"/>
          <w:sz w:val="24"/>
        </w:rPr>
        <w:t>Implantate</w:t>
      </w:r>
      <w:proofErr w:type="gramEnd"/>
      <w:r>
        <w:rPr>
          <w:rFonts w:ascii="Times New Roman" w:hAnsi="Times New Roman"/>
          <w:sz w:val="24"/>
        </w:rPr>
        <w:t xml:space="preserve"> usw. </w:t>
      </w:r>
      <w:r>
        <w:rPr>
          <w:rFonts w:ascii="Times New Roman" w:hAnsi="Times New Roman"/>
          <w:sz w:val="24"/>
          <w:vertAlign w:val="superscript"/>
        </w:rPr>
        <w:footnoteReference w:id="30"/>
      </w:r>
      <w:r>
        <w:rPr>
          <w:rFonts w:ascii="Times New Roman" w:hAnsi="Times New Roman"/>
          <w:sz w:val="24"/>
        </w:rPr>
        <w:t xml:space="preserve"> Außerdem würde dieses Konzept eine Anzahl </w:t>
      </w:r>
      <w:r w:rsidR="00AF207F">
        <w:rPr>
          <w:rFonts w:ascii="Times New Roman" w:hAnsi="Times New Roman"/>
          <w:sz w:val="24"/>
        </w:rPr>
        <w:t>verschiedener</w:t>
      </w:r>
      <w:r>
        <w:rPr>
          <w:rFonts w:ascii="Times New Roman" w:hAnsi="Times New Roman"/>
          <w:sz w:val="24"/>
        </w:rPr>
        <w:t xml:space="preserve"> vorhandener Programme einschließen, beispielsweise Bergarbeiterkrankheiten, Schäden </w:t>
      </w:r>
      <w:r w:rsidRPr="00AF207F">
        <w:rPr>
          <w:rFonts w:ascii="Times New Roman" w:hAnsi="Times New Roman"/>
          <w:sz w:val="24"/>
          <w:szCs w:val="24"/>
        </w:rPr>
        <w:t>durch Impfstoffe und Thalidomid.</w:t>
      </w:r>
      <w:r w:rsidR="008803BC" w:rsidRPr="00AF207F">
        <w:rPr>
          <w:rFonts w:ascii="Times New Roman" w:hAnsi="Times New Roman"/>
          <w:sz w:val="24"/>
          <w:szCs w:val="24"/>
        </w:rPr>
        <w:t xml:space="preserve"> </w:t>
      </w:r>
      <w:r w:rsidRPr="006813EC">
        <w:rPr>
          <w:rFonts w:ascii="Times New Roman" w:hAnsi="Times New Roman"/>
          <w:sz w:val="24"/>
          <w:szCs w:val="24"/>
        </w:rPr>
        <w:t xml:space="preserve"> Dieses Konzept würde sich </w:t>
      </w:r>
      <w:r w:rsidR="00AF207F">
        <w:rPr>
          <w:rFonts w:ascii="Times New Roman" w:hAnsi="Times New Roman"/>
          <w:sz w:val="24"/>
          <w:szCs w:val="24"/>
        </w:rPr>
        <w:t>in manchen</w:t>
      </w:r>
      <w:r w:rsidRPr="006813EC">
        <w:rPr>
          <w:rFonts w:ascii="Times New Roman" w:hAnsi="Times New Roman"/>
          <w:sz w:val="24"/>
          <w:szCs w:val="24"/>
        </w:rPr>
        <w:t xml:space="preserve"> Sektoren </w:t>
      </w:r>
      <w:r w:rsidR="00AF207F">
        <w:rPr>
          <w:rFonts w:ascii="Times New Roman" w:hAnsi="Times New Roman"/>
          <w:sz w:val="24"/>
          <w:szCs w:val="24"/>
        </w:rPr>
        <w:t xml:space="preserve">systemverändernd </w:t>
      </w:r>
      <w:r w:rsidRPr="006813EC">
        <w:rPr>
          <w:rFonts w:ascii="Times New Roman" w:hAnsi="Times New Roman"/>
          <w:sz w:val="24"/>
          <w:szCs w:val="24"/>
        </w:rPr>
        <w:t xml:space="preserve">auswirken, insbesondere </w:t>
      </w:r>
      <w:r w:rsidR="00AF207F">
        <w:rPr>
          <w:rFonts w:ascii="Times New Roman" w:hAnsi="Times New Roman"/>
          <w:sz w:val="24"/>
          <w:szCs w:val="24"/>
        </w:rPr>
        <w:t xml:space="preserve">für </w:t>
      </w:r>
      <w:r w:rsidRPr="006813EC">
        <w:rPr>
          <w:rFonts w:ascii="Times New Roman" w:hAnsi="Times New Roman"/>
          <w:sz w:val="24"/>
          <w:szCs w:val="24"/>
        </w:rPr>
        <w:t xml:space="preserve">das britische Gesundheitswesen, da </w:t>
      </w:r>
      <w:proofErr w:type="gramStart"/>
      <w:r w:rsidRPr="006813EC">
        <w:rPr>
          <w:rFonts w:ascii="Times New Roman" w:hAnsi="Times New Roman"/>
          <w:sz w:val="24"/>
          <w:szCs w:val="24"/>
        </w:rPr>
        <w:t>dort</w:t>
      </w:r>
      <w:proofErr w:type="gramEnd"/>
      <w:r w:rsidRPr="006813EC">
        <w:rPr>
          <w:rFonts w:ascii="Times New Roman" w:hAnsi="Times New Roman"/>
          <w:sz w:val="24"/>
          <w:szCs w:val="24"/>
        </w:rPr>
        <w:t xml:space="preserve"> die Entwicklung von Audits zu klinischen Behandlungsergebnissen unterstützt werden kann.</w:t>
      </w:r>
      <w:r>
        <w:rPr>
          <w:rFonts w:ascii="Times New Roman" w:hAnsi="Times New Roman"/>
          <w:sz w:val="23"/>
          <w:vertAlign w:val="superscript"/>
        </w:rPr>
        <w:footnoteReference w:id="31"/>
      </w:r>
      <w:r>
        <w:rPr>
          <w:rFonts w:ascii="Times New Roman" w:hAnsi="Times New Roman"/>
          <w:sz w:val="24"/>
        </w:rPr>
        <w:t xml:space="preserve"> </w:t>
      </w:r>
      <w:r w:rsidR="005F218D">
        <w:rPr>
          <w:rFonts w:ascii="Times New Roman" w:hAnsi="Times New Roman"/>
          <w:sz w:val="24"/>
        </w:rPr>
        <w:t xml:space="preserve">Die </w:t>
      </w:r>
      <w:r>
        <w:rPr>
          <w:rFonts w:ascii="Times New Roman" w:hAnsi="Times New Roman"/>
          <w:sz w:val="24"/>
        </w:rPr>
        <w:t>Untersuchung</w:t>
      </w:r>
      <w:r w:rsidR="005F218D">
        <w:rPr>
          <w:rFonts w:ascii="Times New Roman" w:hAnsi="Times New Roman"/>
          <w:sz w:val="24"/>
        </w:rPr>
        <w:t>sfunktion</w:t>
      </w:r>
      <w:r>
        <w:rPr>
          <w:rFonts w:ascii="Times New Roman" w:hAnsi="Times New Roman"/>
          <w:sz w:val="24"/>
        </w:rPr>
        <w:t xml:space="preserve"> könnten </w:t>
      </w:r>
      <w:r>
        <w:rPr>
          <w:rFonts w:ascii="Times New Roman" w:hAnsi="Times New Roman"/>
          <w:sz w:val="24"/>
        </w:rPr>
        <w:lastRenderedPageBreak/>
        <w:t xml:space="preserve">wirtschaftlich und zeitnah mit </w:t>
      </w:r>
      <w:r w:rsidR="005C373D">
        <w:rPr>
          <w:rFonts w:ascii="Times New Roman" w:hAnsi="Times New Roman"/>
          <w:sz w:val="24"/>
        </w:rPr>
        <w:t xml:space="preserve">Skaleneffekten </w:t>
      </w:r>
      <w:r>
        <w:rPr>
          <w:rFonts w:ascii="Times New Roman" w:hAnsi="Times New Roman"/>
          <w:sz w:val="24"/>
        </w:rPr>
        <w:t xml:space="preserve">durchgeführt </w:t>
      </w:r>
      <w:r w:rsidR="005F218D">
        <w:rPr>
          <w:rFonts w:ascii="Times New Roman" w:hAnsi="Times New Roman"/>
          <w:sz w:val="24"/>
        </w:rPr>
        <w:t>werden, indem medizinische Verletzungen</w:t>
      </w:r>
      <w:r>
        <w:rPr>
          <w:rFonts w:ascii="Times New Roman" w:hAnsi="Times New Roman"/>
          <w:sz w:val="24"/>
        </w:rPr>
        <w:t xml:space="preserve"> (damit würde das britische öffentliche Gesundheitswesen einen erheblichen Anteil der 250 Mio. Pfund für Rechtsstreitigkeiten pro Jahr wegen Klagen von Behandlungsfehlern einsparen, wobei dieser Betrag laufend weiter ansteigt: siehe dazu Tabelle 1.)</w:t>
      </w:r>
      <w:r w:rsidR="005F218D">
        <w:rPr>
          <w:rFonts w:ascii="Times New Roman" w:hAnsi="Times New Roman"/>
          <w:sz w:val="24"/>
        </w:rPr>
        <w:t>,</w:t>
      </w:r>
      <w:r>
        <w:rPr>
          <w:rFonts w:ascii="Times New Roman" w:hAnsi="Times New Roman"/>
          <w:sz w:val="24"/>
        </w:rPr>
        <w:t xml:space="preserve"> aber auch Produkthaftung für Medikamente und Implantate mit Produkthaftungsansprüchen, </w:t>
      </w:r>
      <w:r w:rsidR="005F218D">
        <w:rPr>
          <w:rFonts w:ascii="Times New Roman" w:hAnsi="Times New Roman"/>
          <w:sz w:val="24"/>
        </w:rPr>
        <w:t>Verkehrs</w:t>
      </w:r>
      <w:r>
        <w:rPr>
          <w:rFonts w:ascii="Times New Roman" w:hAnsi="Times New Roman"/>
          <w:sz w:val="24"/>
        </w:rPr>
        <w:t>unfälle und Arbeitsunfälle</w:t>
      </w:r>
      <w:r w:rsidR="005F218D">
        <w:rPr>
          <w:rFonts w:ascii="Times New Roman" w:hAnsi="Times New Roman"/>
          <w:sz w:val="24"/>
        </w:rPr>
        <w:t xml:space="preserve"> einbezogen würden</w:t>
      </w:r>
      <w:r>
        <w:rPr>
          <w:rFonts w:ascii="Times New Roman" w:hAnsi="Times New Roman"/>
          <w:sz w:val="24"/>
        </w:rPr>
        <w:t>.</w:t>
      </w:r>
    </w:p>
    <w:p w14:paraId="3F986DB0" w14:textId="5CB68048" w:rsidR="004530AB" w:rsidRDefault="005F218D" w:rsidP="003041F8">
      <w:pPr>
        <w:spacing w:after="0" w:line="240" w:lineRule="auto"/>
        <w:ind w:left="-360" w:firstLine="720"/>
        <w:jc w:val="both"/>
        <w:rPr>
          <w:rFonts w:ascii="Times New Roman" w:eastAsia="Times New Roman" w:hAnsi="Times New Roman" w:cs="Times New Roman"/>
          <w:sz w:val="24"/>
          <w:szCs w:val="24"/>
        </w:rPr>
      </w:pPr>
      <w:r>
        <w:rPr>
          <w:rFonts w:ascii="Times New Roman" w:hAnsi="Times New Roman"/>
          <w:sz w:val="24"/>
        </w:rPr>
        <w:t>Der</w:t>
      </w:r>
      <w:r w:rsidR="004530AB">
        <w:rPr>
          <w:rFonts w:ascii="Times New Roman" w:hAnsi="Times New Roman"/>
          <w:sz w:val="24"/>
        </w:rPr>
        <w:t xml:space="preserve"> Kongress der britischen Gewerkschaften (TUC) </w:t>
      </w:r>
      <w:r>
        <w:rPr>
          <w:rFonts w:ascii="Times New Roman" w:hAnsi="Times New Roman"/>
          <w:sz w:val="24"/>
        </w:rPr>
        <w:t xml:space="preserve">verlautbarte </w:t>
      </w:r>
      <w:r w:rsidR="004530AB">
        <w:rPr>
          <w:rFonts w:ascii="Times New Roman" w:hAnsi="Times New Roman"/>
          <w:sz w:val="24"/>
        </w:rPr>
        <w:t xml:space="preserve">kürzlich Folgendes: </w:t>
      </w:r>
      <w:r w:rsidR="004530AB">
        <w:rPr>
          <w:rStyle w:val="Funotenzeichen"/>
          <w:rFonts w:ascii="Times New Roman" w:hAnsi="Times New Roman"/>
          <w:sz w:val="24"/>
        </w:rPr>
        <w:footnoteReference w:id="32"/>
      </w:r>
    </w:p>
    <w:p w14:paraId="55B4D27A" w14:textId="3B3E43A0" w:rsidR="004530AB" w:rsidRPr="004530AB" w:rsidRDefault="004530AB" w:rsidP="003041F8">
      <w:pPr>
        <w:spacing w:after="0" w:line="240" w:lineRule="auto"/>
        <w:ind w:left="1080"/>
        <w:jc w:val="both"/>
        <w:rPr>
          <w:rFonts w:ascii="Times New Roman" w:eastAsia="Times New Roman" w:hAnsi="Times New Roman" w:cs="Times New Roman"/>
        </w:rPr>
      </w:pPr>
      <w:r>
        <w:rPr>
          <w:rFonts w:ascii="Times New Roman" w:hAnsi="Times New Roman"/>
        </w:rPr>
        <w:t xml:space="preserve">Jedes Jahr erkranken </w:t>
      </w:r>
      <w:proofErr w:type="gramStart"/>
      <w:r>
        <w:rPr>
          <w:rFonts w:ascii="Times New Roman" w:hAnsi="Times New Roman"/>
        </w:rPr>
        <w:t>oder</w:t>
      </w:r>
      <w:proofErr w:type="gramEnd"/>
      <w:r>
        <w:rPr>
          <w:rFonts w:ascii="Times New Roman" w:hAnsi="Times New Roman"/>
        </w:rPr>
        <w:t xml:space="preserve"> verletzen sich über 850.000 Arbeitnehmer aufgrund ihrer beruflichen Tätigkeit.</w:t>
      </w:r>
      <w:r>
        <w:rPr>
          <w:rStyle w:val="Funotenzeichen"/>
          <w:rFonts w:ascii="Times New Roman" w:hAnsi="Times New Roman"/>
        </w:rPr>
        <w:footnoteReference w:id="33"/>
      </w:r>
      <w:r>
        <w:rPr>
          <w:rFonts w:ascii="Times New Roman" w:hAnsi="Times New Roman"/>
        </w:rPr>
        <w:t xml:space="preserve"> Die häufigsten Verletzungen </w:t>
      </w:r>
      <w:proofErr w:type="gramStart"/>
      <w:r>
        <w:rPr>
          <w:rFonts w:ascii="Times New Roman" w:hAnsi="Times New Roman"/>
        </w:rPr>
        <w:t>sind</w:t>
      </w:r>
      <w:proofErr w:type="gramEnd"/>
      <w:r>
        <w:rPr>
          <w:rFonts w:ascii="Times New Roman" w:hAnsi="Times New Roman"/>
        </w:rPr>
        <w:t xml:space="preserve"> Probleme des Muskel- und Skelettsystems, beispielsweise Rückenschmerzen oder RSI</w:t>
      </w:r>
      <w:r w:rsidR="005C373D">
        <w:rPr>
          <w:rFonts w:ascii="Times New Roman" w:hAnsi="Times New Roman"/>
        </w:rPr>
        <w:t xml:space="preserve"> (</w:t>
      </w:r>
      <w:r w:rsidR="006B250B" w:rsidRPr="006B250B">
        <w:rPr>
          <w:rFonts w:ascii="Times New Roman" w:hAnsi="Times New Roman"/>
        </w:rPr>
        <w:t>Repetitive Strain Injury-Syndrom</w:t>
      </w:r>
      <w:r w:rsidR="006B250B">
        <w:rPr>
          <w:rFonts w:ascii="Times New Roman" w:hAnsi="Times New Roman"/>
        </w:rPr>
        <w:t xml:space="preserve"> – “Mausarm”</w:t>
      </w:r>
      <w:r w:rsidR="005C373D">
        <w:rPr>
          <w:rFonts w:ascii="Times New Roman" w:hAnsi="Times New Roman"/>
        </w:rPr>
        <w:t>)</w:t>
      </w:r>
      <w:r>
        <w:rPr>
          <w:rFonts w:ascii="Times New Roman" w:hAnsi="Times New Roman"/>
        </w:rPr>
        <w:t xml:space="preserve">, Verletzungen durch Stürze, Hauterkrankungen und Hörprobleme. </w:t>
      </w:r>
      <w:proofErr w:type="gramStart"/>
      <w:r>
        <w:rPr>
          <w:rFonts w:ascii="Times New Roman" w:hAnsi="Times New Roman"/>
        </w:rPr>
        <w:t>Viele Menschen erholen sich, einige nicht.</w:t>
      </w:r>
      <w:proofErr w:type="gramEnd"/>
      <w:r>
        <w:rPr>
          <w:rFonts w:ascii="Times New Roman" w:hAnsi="Times New Roman"/>
        </w:rPr>
        <w:t xml:space="preserve"> Über 25.000 Arbeitnehmer </w:t>
      </w:r>
      <w:proofErr w:type="gramStart"/>
      <w:r>
        <w:rPr>
          <w:rFonts w:ascii="Times New Roman" w:hAnsi="Times New Roman"/>
        </w:rPr>
        <w:t>sind</w:t>
      </w:r>
      <w:proofErr w:type="gramEnd"/>
      <w:r>
        <w:rPr>
          <w:rFonts w:ascii="Times New Roman" w:hAnsi="Times New Roman"/>
        </w:rPr>
        <w:t xml:space="preserve"> jedes Jahr gezwungen, aufgrund arbeitsbedingter Verletzungen oder Erkrankungen ihre Arbeit aufzugeben.</w:t>
      </w:r>
    </w:p>
    <w:p w14:paraId="14FB6E7C" w14:textId="74DF0281" w:rsidR="004530AB" w:rsidRDefault="004530AB" w:rsidP="003041F8">
      <w:pPr>
        <w:spacing w:after="0" w:line="240" w:lineRule="auto"/>
        <w:ind w:left="1080"/>
        <w:jc w:val="both"/>
        <w:rPr>
          <w:rFonts w:ascii="Times New Roman" w:eastAsia="Times New Roman" w:hAnsi="Times New Roman" w:cs="Times New Roman"/>
        </w:rPr>
      </w:pPr>
      <w:r>
        <w:rPr>
          <w:rFonts w:ascii="Times New Roman" w:hAnsi="Times New Roman"/>
        </w:rPr>
        <w:t xml:space="preserve">Die Anzahl der Personen, die von ihrem Arbeitgeber eine Entschädigung erhalten, liegt nach Angabe des Britischen Verbands der Versicherungsgesellschaften bei 60.000 pro Jahr. </w:t>
      </w:r>
      <w:r>
        <w:rPr>
          <w:rStyle w:val="Funotenzeichen"/>
          <w:rFonts w:ascii="Times New Roman" w:hAnsi="Times New Roman"/>
        </w:rPr>
        <w:footnoteReference w:id="34"/>
      </w:r>
      <w:r>
        <w:rPr>
          <w:rFonts w:ascii="Times New Roman" w:hAnsi="Times New Roman"/>
        </w:rPr>
        <w:t xml:space="preserve"> Weitere 20.000 dürften erfolgreich wegen Arbeitsunfällen Ansprüche geltend machen; dies </w:t>
      </w:r>
      <w:proofErr w:type="gramStart"/>
      <w:r>
        <w:rPr>
          <w:rFonts w:ascii="Times New Roman" w:hAnsi="Times New Roman"/>
        </w:rPr>
        <w:t>ist</w:t>
      </w:r>
      <w:proofErr w:type="gramEnd"/>
      <w:r>
        <w:rPr>
          <w:rFonts w:ascii="Times New Roman" w:hAnsi="Times New Roman"/>
        </w:rPr>
        <w:t xml:space="preserve"> das von der Regierung finanzierte „No-fault"-Programm. Das bedeutet</w:t>
      </w:r>
      <w:r w:rsidR="00C81B1E">
        <w:rPr>
          <w:rFonts w:ascii="Times New Roman" w:hAnsi="Times New Roman"/>
        </w:rPr>
        <w:t xml:space="preserve"> aber im Gegenschluss</w:t>
      </w:r>
      <w:r>
        <w:rPr>
          <w:rFonts w:ascii="Times New Roman" w:hAnsi="Times New Roman"/>
        </w:rPr>
        <w:t xml:space="preserve">, dass 9 von 10 Arbeitnehmern, die Berufsunfälle </w:t>
      </w:r>
      <w:proofErr w:type="gramStart"/>
      <w:r>
        <w:rPr>
          <w:rFonts w:ascii="Times New Roman" w:hAnsi="Times New Roman"/>
        </w:rPr>
        <w:t>oder</w:t>
      </w:r>
      <w:proofErr w:type="gramEnd"/>
      <w:r>
        <w:rPr>
          <w:rFonts w:ascii="Times New Roman" w:hAnsi="Times New Roman"/>
        </w:rPr>
        <w:t xml:space="preserve"> berufsbedingte Erkrankungen haben, keine Entschädigung erhalten. …</w:t>
      </w:r>
    </w:p>
    <w:p w14:paraId="0CCA4E90" w14:textId="60642F3C" w:rsidR="002F0DD6" w:rsidRPr="002F0DD6" w:rsidRDefault="002F0DD6" w:rsidP="003041F8">
      <w:pPr>
        <w:spacing w:after="0" w:line="240" w:lineRule="auto"/>
        <w:ind w:left="1080"/>
        <w:jc w:val="both"/>
        <w:rPr>
          <w:rFonts w:ascii="Times New Roman" w:eastAsia="Calibri" w:hAnsi="Times New Roman" w:cs="Times New Roman"/>
        </w:rPr>
      </w:pPr>
      <w:r>
        <w:rPr>
          <w:rFonts w:ascii="Times New Roman" w:hAnsi="Times New Roman"/>
        </w:rPr>
        <w:t xml:space="preserve">Die durchschnittlichen Kosten der Betriebsunfallversicherung betragen 0,25 % der </w:t>
      </w:r>
      <w:bookmarkStart w:id="0" w:name="_GoBack"/>
      <w:bookmarkEnd w:id="0"/>
      <w:r>
        <w:rPr>
          <w:rFonts w:ascii="Times New Roman" w:hAnsi="Times New Roman"/>
        </w:rPr>
        <w:t>Gesamtgehaltskosten</w:t>
      </w:r>
      <w:r>
        <w:rPr>
          <w:rFonts w:ascii="Times New Roman" w:hAnsi="Times New Roman"/>
          <w:vertAlign w:val="superscript"/>
        </w:rPr>
        <w:footnoteReference w:id="35"/>
      </w:r>
      <w:r>
        <w:rPr>
          <w:rFonts w:ascii="Times New Roman" w:hAnsi="Times New Roman"/>
        </w:rPr>
        <w:t xml:space="preserve"> und </w:t>
      </w:r>
      <w:proofErr w:type="gramStart"/>
      <w:r>
        <w:rPr>
          <w:rFonts w:ascii="Times New Roman" w:hAnsi="Times New Roman"/>
        </w:rPr>
        <w:t>sind</w:t>
      </w:r>
      <w:proofErr w:type="gramEnd"/>
      <w:r>
        <w:rPr>
          <w:rFonts w:ascii="Times New Roman" w:hAnsi="Times New Roman"/>
        </w:rPr>
        <w:t xml:space="preserve"> die niedrigsten in Europa. </w:t>
      </w:r>
      <w:proofErr w:type="gramStart"/>
      <w:r>
        <w:rPr>
          <w:rFonts w:ascii="Times New Roman" w:hAnsi="Times New Roman"/>
        </w:rPr>
        <w:t>Der durchschnittliche Streitwert eines Anspruchs vor dem Arbeitsgericht liegt bei 7.500 Pfund.</w:t>
      </w:r>
      <w:proofErr w:type="gramEnd"/>
      <w:r>
        <w:rPr>
          <w:rFonts w:ascii="Times New Roman" w:hAnsi="Times New Roman"/>
          <w:vertAlign w:val="superscript"/>
        </w:rPr>
        <w:footnoteReference w:id="36"/>
      </w:r>
    </w:p>
    <w:p w14:paraId="483490AD" w14:textId="77777777" w:rsidR="002F0DD6" w:rsidRPr="00282B90" w:rsidRDefault="002F0DD6" w:rsidP="004530AB">
      <w:pPr>
        <w:spacing w:after="0" w:line="240" w:lineRule="auto"/>
        <w:ind w:left="1440"/>
        <w:jc w:val="both"/>
        <w:rPr>
          <w:rFonts w:ascii="Times New Roman" w:eastAsia="Times New Roman" w:hAnsi="Times New Roman" w:cs="Times New Roman"/>
          <w:sz w:val="24"/>
          <w:szCs w:val="24"/>
        </w:rPr>
      </w:pPr>
    </w:p>
    <w:p w14:paraId="239F16B0" w14:textId="2A6FFBBC" w:rsidR="00282B90" w:rsidRDefault="00C1155E" w:rsidP="00C1155E">
      <w:pPr>
        <w:spacing w:after="0" w:line="240" w:lineRule="auto"/>
        <w:jc w:val="center"/>
        <w:rPr>
          <w:rFonts w:ascii="Times New Roman" w:eastAsia="Times New Roman" w:hAnsi="Times New Roman" w:cs="Times New Roman"/>
          <w:sz w:val="24"/>
          <w:szCs w:val="24"/>
        </w:rPr>
      </w:pPr>
      <w:r>
        <w:rPr>
          <w:rFonts w:ascii="Times New Roman" w:hAnsi="Times New Roman"/>
          <w:sz w:val="24"/>
        </w:rPr>
        <w:t xml:space="preserve">Tabelle 1: Ansprüche wegen Personenschäden, die </w:t>
      </w:r>
      <w:proofErr w:type="gramStart"/>
      <w:r>
        <w:rPr>
          <w:rFonts w:ascii="Times New Roman" w:hAnsi="Times New Roman"/>
          <w:sz w:val="24"/>
        </w:rPr>
        <w:t>an</w:t>
      </w:r>
      <w:proofErr w:type="gramEnd"/>
      <w:r>
        <w:rPr>
          <w:rFonts w:ascii="Times New Roman" w:hAnsi="Times New Roman"/>
          <w:sz w:val="24"/>
        </w:rPr>
        <w:t xml:space="preserve"> die zuständige Behörde (Compensation Recovery Unit</w:t>
      </w:r>
      <w:r w:rsidR="00C81B1E">
        <w:rPr>
          <w:rFonts w:ascii="Times New Roman" w:hAnsi="Times New Roman"/>
          <w:sz w:val="24"/>
        </w:rPr>
        <w:t xml:space="preserve"> - CRU</w:t>
      </w:r>
      <w:r>
        <w:rPr>
          <w:rFonts w:ascii="Times New Roman" w:hAnsi="Times New Roman"/>
          <w:sz w:val="24"/>
        </w:rPr>
        <w:t>) gemeldet wurden.</w:t>
      </w:r>
    </w:p>
    <w:p w14:paraId="29362F9C" w14:textId="77777777" w:rsidR="00EC4FF7" w:rsidRPr="00EC4FF7" w:rsidRDefault="00EC4FF7" w:rsidP="00EC4FF7">
      <w:pPr>
        <w:pStyle w:val="Listenabsatz"/>
        <w:spacing w:after="0" w:line="240" w:lineRule="auto"/>
        <w:ind w:left="1080"/>
        <w:jc w:val="center"/>
        <w:rPr>
          <w:rFonts w:ascii="Times New Roman" w:eastAsia="Times New Roman" w:hAnsi="Times New Roman" w:cs="Times New Roman"/>
          <w:sz w:val="20"/>
          <w:szCs w:val="20"/>
        </w:rPr>
      </w:pPr>
      <w:r>
        <w:rPr>
          <w:rFonts w:ascii="Times New Roman" w:hAnsi="Times New Roman"/>
          <w:sz w:val="20"/>
        </w:rPr>
        <w:t xml:space="preserve">* = </w:t>
      </w:r>
      <w:proofErr w:type="gramStart"/>
      <w:r>
        <w:rPr>
          <w:rFonts w:ascii="Times New Roman" w:hAnsi="Times New Roman"/>
          <w:sz w:val="20"/>
        </w:rPr>
        <w:t>keine</w:t>
      </w:r>
      <w:proofErr w:type="gramEnd"/>
      <w:r>
        <w:rPr>
          <w:rFonts w:ascii="Times New Roman" w:hAnsi="Times New Roman"/>
          <w:sz w:val="20"/>
        </w:rPr>
        <w:t xml:space="preserve"> Angaben verfügbar</w:t>
      </w:r>
    </w:p>
    <w:tbl>
      <w:tblPr>
        <w:tblStyle w:val="Tabellenraster"/>
        <w:tblW w:w="0" w:type="auto"/>
        <w:tblLook w:val="04A0" w:firstRow="1" w:lastRow="0" w:firstColumn="1" w:lastColumn="0" w:noHBand="0" w:noVBand="1"/>
      </w:tblPr>
      <w:tblGrid>
        <w:gridCol w:w="3080"/>
        <w:gridCol w:w="3081"/>
        <w:gridCol w:w="3081"/>
      </w:tblGrid>
      <w:tr w:rsidR="00F75257" w:rsidRPr="00F75257" w14:paraId="47ED35F1" w14:textId="77777777" w:rsidTr="00F75257">
        <w:tc>
          <w:tcPr>
            <w:tcW w:w="3080" w:type="dxa"/>
          </w:tcPr>
          <w:p w14:paraId="1ECD4D10" w14:textId="77777777" w:rsidR="00F75257" w:rsidRPr="00F75257" w:rsidRDefault="00F75257" w:rsidP="00C1155E">
            <w:pPr>
              <w:jc w:val="center"/>
              <w:rPr>
                <w:rFonts w:ascii="Times New Roman" w:eastAsia="Times New Roman" w:hAnsi="Times New Roman" w:cs="Times New Roman"/>
                <w:b/>
                <w:sz w:val="20"/>
                <w:szCs w:val="20"/>
              </w:rPr>
            </w:pPr>
            <w:r>
              <w:rPr>
                <w:rFonts w:ascii="Times New Roman" w:hAnsi="Times New Roman"/>
                <w:b/>
                <w:sz w:val="20"/>
              </w:rPr>
              <w:t>Jährlich</w:t>
            </w:r>
          </w:p>
        </w:tc>
        <w:tc>
          <w:tcPr>
            <w:tcW w:w="3081" w:type="dxa"/>
          </w:tcPr>
          <w:p w14:paraId="45122D0A" w14:textId="77777777" w:rsidR="00F75257" w:rsidRPr="00F75257" w:rsidRDefault="00F75257" w:rsidP="00C1155E">
            <w:pPr>
              <w:jc w:val="center"/>
              <w:rPr>
                <w:rFonts w:ascii="Times New Roman" w:eastAsia="Times New Roman" w:hAnsi="Times New Roman" w:cs="Times New Roman"/>
                <w:b/>
                <w:sz w:val="20"/>
                <w:szCs w:val="20"/>
              </w:rPr>
            </w:pPr>
            <w:r>
              <w:rPr>
                <w:rFonts w:ascii="Times New Roman" w:hAnsi="Times New Roman"/>
                <w:b/>
                <w:sz w:val="20"/>
              </w:rPr>
              <w:t xml:space="preserve">Anzahl der neuen Ansprüche, die </w:t>
            </w:r>
            <w:proofErr w:type="gramStart"/>
            <w:r>
              <w:rPr>
                <w:rFonts w:ascii="Times New Roman" w:hAnsi="Times New Roman"/>
                <w:b/>
                <w:sz w:val="20"/>
              </w:rPr>
              <w:t>an</w:t>
            </w:r>
            <w:proofErr w:type="gramEnd"/>
            <w:r>
              <w:rPr>
                <w:rFonts w:ascii="Times New Roman" w:hAnsi="Times New Roman"/>
                <w:b/>
                <w:sz w:val="20"/>
              </w:rPr>
              <w:t xml:space="preserve"> die CRU gemeldet wurden.</w:t>
            </w:r>
          </w:p>
        </w:tc>
        <w:tc>
          <w:tcPr>
            <w:tcW w:w="3081" w:type="dxa"/>
          </w:tcPr>
          <w:p w14:paraId="6556A462" w14:textId="77777777" w:rsidR="00F75257" w:rsidRPr="00F75257" w:rsidRDefault="00F75257" w:rsidP="00C1155E">
            <w:pPr>
              <w:jc w:val="center"/>
              <w:rPr>
                <w:rFonts w:ascii="Times New Roman" w:eastAsia="Times New Roman" w:hAnsi="Times New Roman" w:cs="Times New Roman"/>
                <w:b/>
                <w:sz w:val="20"/>
                <w:szCs w:val="20"/>
              </w:rPr>
            </w:pPr>
            <w:r>
              <w:rPr>
                <w:rFonts w:ascii="Times New Roman" w:hAnsi="Times New Roman"/>
                <w:b/>
                <w:sz w:val="20"/>
              </w:rPr>
              <w:t>Anzahl der bisher erfassten und in diesem Jahr geregelten Ansprüche</w:t>
            </w:r>
          </w:p>
        </w:tc>
      </w:tr>
      <w:tr w:rsidR="00F75257" w14:paraId="35D4E89D" w14:textId="77777777" w:rsidTr="00F75257">
        <w:tc>
          <w:tcPr>
            <w:tcW w:w="3080" w:type="dxa"/>
          </w:tcPr>
          <w:p w14:paraId="723B3F6E" w14:textId="77777777" w:rsidR="00F75257" w:rsidRP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2000/2001</w:t>
            </w:r>
          </w:p>
        </w:tc>
        <w:tc>
          <w:tcPr>
            <w:tcW w:w="3081" w:type="dxa"/>
          </w:tcPr>
          <w:p w14:paraId="65FD59D7" w14:textId="77777777" w:rsidR="00F75257" w:rsidRP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735.932</w:t>
            </w:r>
          </w:p>
        </w:tc>
        <w:tc>
          <w:tcPr>
            <w:tcW w:w="3081" w:type="dxa"/>
          </w:tcPr>
          <w:p w14:paraId="436C891D" w14:textId="77777777" w:rsidR="00F75257" w:rsidRP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w:t>
            </w:r>
          </w:p>
        </w:tc>
      </w:tr>
      <w:tr w:rsidR="00F75257" w14:paraId="44F42861" w14:textId="77777777" w:rsidTr="00F75257">
        <w:tc>
          <w:tcPr>
            <w:tcW w:w="3080" w:type="dxa"/>
          </w:tcPr>
          <w:p w14:paraId="43ECA906" w14:textId="77777777" w:rsidR="00F75257" w:rsidRP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2001/2002</w:t>
            </w:r>
          </w:p>
        </w:tc>
        <w:tc>
          <w:tcPr>
            <w:tcW w:w="3081" w:type="dxa"/>
          </w:tcPr>
          <w:p w14:paraId="691D2AC9" w14:textId="77777777" w:rsidR="00F75257" w:rsidRP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688.315</w:t>
            </w:r>
          </w:p>
        </w:tc>
        <w:tc>
          <w:tcPr>
            <w:tcW w:w="3081" w:type="dxa"/>
          </w:tcPr>
          <w:p w14:paraId="1EFF5888" w14:textId="77777777" w:rsidR="00F75257" w:rsidRP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w:t>
            </w:r>
          </w:p>
        </w:tc>
      </w:tr>
      <w:tr w:rsidR="00F75257" w14:paraId="5A9681A0" w14:textId="77777777" w:rsidTr="00F75257">
        <w:tc>
          <w:tcPr>
            <w:tcW w:w="3080" w:type="dxa"/>
          </w:tcPr>
          <w:p w14:paraId="65BDFC4F" w14:textId="77777777" w:rsidR="00F75257" w:rsidRP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2002/2003</w:t>
            </w:r>
          </w:p>
        </w:tc>
        <w:tc>
          <w:tcPr>
            <w:tcW w:w="3081" w:type="dxa"/>
          </w:tcPr>
          <w:p w14:paraId="44855231" w14:textId="77777777" w:rsidR="00F75257" w:rsidRP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706.697</w:t>
            </w:r>
          </w:p>
        </w:tc>
        <w:tc>
          <w:tcPr>
            <w:tcW w:w="3081" w:type="dxa"/>
          </w:tcPr>
          <w:p w14:paraId="49AF066E" w14:textId="77777777" w:rsidR="00F75257" w:rsidRP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w:t>
            </w:r>
          </w:p>
        </w:tc>
      </w:tr>
      <w:tr w:rsidR="00F75257" w14:paraId="7C24FE6F" w14:textId="77777777" w:rsidTr="00F75257">
        <w:tc>
          <w:tcPr>
            <w:tcW w:w="3080" w:type="dxa"/>
          </w:tcPr>
          <w:p w14:paraId="5AF7C4E5" w14:textId="77777777" w:rsidR="00F75257" w:rsidRP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2003/2004</w:t>
            </w:r>
          </w:p>
        </w:tc>
        <w:tc>
          <w:tcPr>
            <w:tcW w:w="3081" w:type="dxa"/>
          </w:tcPr>
          <w:p w14:paraId="6E496300" w14:textId="77777777" w:rsidR="00F75257" w:rsidRP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770.243</w:t>
            </w:r>
          </w:p>
        </w:tc>
        <w:tc>
          <w:tcPr>
            <w:tcW w:w="3081" w:type="dxa"/>
          </w:tcPr>
          <w:p w14:paraId="1067E0BA" w14:textId="77777777" w:rsidR="00F75257" w:rsidRP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w:t>
            </w:r>
          </w:p>
        </w:tc>
      </w:tr>
      <w:tr w:rsidR="00F75257" w14:paraId="2BD5435D" w14:textId="77777777" w:rsidTr="00F75257">
        <w:tc>
          <w:tcPr>
            <w:tcW w:w="3080" w:type="dxa"/>
          </w:tcPr>
          <w:p w14:paraId="3241D160" w14:textId="77777777" w:rsidR="00F75257" w:rsidRP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2004/2005</w:t>
            </w:r>
          </w:p>
        </w:tc>
        <w:tc>
          <w:tcPr>
            <w:tcW w:w="3081" w:type="dxa"/>
          </w:tcPr>
          <w:p w14:paraId="220A1CD4" w14:textId="77777777" w:rsidR="00F75257" w:rsidRP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755.875</w:t>
            </w:r>
          </w:p>
        </w:tc>
        <w:tc>
          <w:tcPr>
            <w:tcW w:w="3081" w:type="dxa"/>
          </w:tcPr>
          <w:p w14:paraId="7900B965" w14:textId="77777777" w:rsidR="00F75257" w:rsidRP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w:t>
            </w:r>
          </w:p>
        </w:tc>
      </w:tr>
      <w:tr w:rsidR="00F75257" w14:paraId="122400C2" w14:textId="77777777" w:rsidTr="00F75257">
        <w:tc>
          <w:tcPr>
            <w:tcW w:w="3080" w:type="dxa"/>
          </w:tcPr>
          <w:p w14:paraId="2F862160" w14:textId="77777777" w:rsidR="00F75257" w:rsidRP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2005/2006</w:t>
            </w:r>
          </w:p>
        </w:tc>
        <w:tc>
          <w:tcPr>
            <w:tcW w:w="3081" w:type="dxa"/>
          </w:tcPr>
          <w:p w14:paraId="47BB2A81" w14:textId="77777777" w:rsidR="00F75257" w:rsidRP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w:t>
            </w:r>
          </w:p>
        </w:tc>
        <w:tc>
          <w:tcPr>
            <w:tcW w:w="3081" w:type="dxa"/>
          </w:tcPr>
          <w:p w14:paraId="725A6D67" w14:textId="77777777" w:rsidR="00F75257" w:rsidRP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w:t>
            </w:r>
          </w:p>
        </w:tc>
      </w:tr>
      <w:tr w:rsidR="00F75257" w14:paraId="09379C3F" w14:textId="77777777" w:rsidTr="00F75257">
        <w:tc>
          <w:tcPr>
            <w:tcW w:w="3080" w:type="dxa"/>
          </w:tcPr>
          <w:p w14:paraId="0A3DBB2B" w14:textId="77777777" w:rsidR="00F75257" w:rsidRP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2006/2007</w:t>
            </w:r>
          </w:p>
        </w:tc>
        <w:tc>
          <w:tcPr>
            <w:tcW w:w="3081" w:type="dxa"/>
          </w:tcPr>
          <w:p w14:paraId="7D4205EF" w14:textId="77777777" w:rsidR="00F75257" w:rsidRP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710.784</w:t>
            </w:r>
          </w:p>
        </w:tc>
        <w:tc>
          <w:tcPr>
            <w:tcW w:w="3081" w:type="dxa"/>
          </w:tcPr>
          <w:p w14:paraId="68EA8D32" w14:textId="77777777" w:rsidR="00F75257" w:rsidRP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793.767</w:t>
            </w:r>
          </w:p>
        </w:tc>
      </w:tr>
      <w:tr w:rsidR="00F75257" w14:paraId="1CE748DE" w14:textId="77777777" w:rsidTr="00F75257">
        <w:tc>
          <w:tcPr>
            <w:tcW w:w="3080" w:type="dxa"/>
          </w:tcPr>
          <w:p w14:paraId="3571D1A3" w14:textId="77777777" w:rsid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2007/2008</w:t>
            </w:r>
          </w:p>
        </w:tc>
        <w:tc>
          <w:tcPr>
            <w:tcW w:w="3081" w:type="dxa"/>
          </w:tcPr>
          <w:p w14:paraId="6A842F42" w14:textId="77777777" w:rsid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732.750</w:t>
            </w:r>
          </w:p>
        </w:tc>
        <w:tc>
          <w:tcPr>
            <w:tcW w:w="3081" w:type="dxa"/>
          </w:tcPr>
          <w:p w14:paraId="6C15D708" w14:textId="77777777" w:rsid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784.043</w:t>
            </w:r>
          </w:p>
        </w:tc>
      </w:tr>
      <w:tr w:rsidR="00F75257" w14:paraId="6E69C401" w14:textId="77777777" w:rsidTr="00F75257">
        <w:tc>
          <w:tcPr>
            <w:tcW w:w="3080" w:type="dxa"/>
          </w:tcPr>
          <w:p w14:paraId="6FE322F8" w14:textId="77777777" w:rsid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2008/2009</w:t>
            </w:r>
          </w:p>
        </w:tc>
        <w:tc>
          <w:tcPr>
            <w:tcW w:w="3081" w:type="dxa"/>
          </w:tcPr>
          <w:p w14:paraId="77C17861" w14:textId="77777777" w:rsid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812.348</w:t>
            </w:r>
          </w:p>
        </w:tc>
        <w:tc>
          <w:tcPr>
            <w:tcW w:w="3081" w:type="dxa"/>
          </w:tcPr>
          <w:p w14:paraId="54341DD8" w14:textId="77777777" w:rsid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802.380</w:t>
            </w:r>
          </w:p>
        </w:tc>
      </w:tr>
      <w:tr w:rsidR="00F75257" w14:paraId="55FD0642" w14:textId="77777777" w:rsidTr="00F75257">
        <w:tc>
          <w:tcPr>
            <w:tcW w:w="3080" w:type="dxa"/>
          </w:tcPr>
          <w:p w14:paraId="6A9140B7" w14:textId="77777777" w:rsid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2009/2010</w:t>
            </w:r>
          </w:p>
        </w:tc>
        <w:tc>
          <w:tcPr>
            <w:tcW w:w="3081" w:type="dxa"/>
          </w:tcPr>
          <w:p w14:paraId="616C8B1D" w14:textId="77777777" w:rsid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861.325</w:t>
            </w:r>
          </w:p>
        </w:tc>
        <w:tc>
          <w:tcPr>
            <w:tcW w:w="3081" w:type="dxa"/>
          </w:tcPr>
          <w:p w14:paraId="1C21C130" w14:textId="77777777" w:rsid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878.311</w:t>
            </w:r>
          </w:p>
        </w:tc>
      </w:tr>
      <w:tr w:rsidR="00F75257" w14:paraId="4258D024" w14:textId="77777777" w:rsidTr="00F75257">
        <w:tc>
          <w:tcPr>
            <w:tcW w:w="3080" w:type="dxa"/>
          </w:tcPr>
          <w:p w14:paraId="66E5F82D" w14:textId="77777777" w:rsid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2010/2011</w:t>
            </w:r>
          </w:p>
        </w:tc>
        <w:tc>
          <w:tcPr>
            <w:tcW w:w="3081" w:type="dxa"/>
          </w:tcPr>
          <w:p w14:paraId="1F6ECD43" w14:textId="77777777" w:rsid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987.381</w:t>
            </w:r>
          </w:p>
        </w:tc>
        <w:tc>
          <w:tcPr>
            <w:tcW w:w="3081" w:type="dxa"/>
          </w:tcPr>
          <w:p w14:paraId="78C540EE" w14:textId="77777777" w:rsid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866.480</w:t>
            </w:r>
          </w:p>
        </w:tc>
      </w:tr>
      <w:tr w:rsidR="00F75257" w14:paraId="0478C925" w14:textId="77777777" w:rsidTr="00F75257">
        <w:tc>
          <w:tcPr>
            <w:tcW w:w="3080" w:type="dxa"/>
          </w:tcPr>
          <w:p w14:paraId="6435BB49" w14:textId="77777777" w:rsid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2011/2012</w:t>
            </w:r>
          </w:p>
        </w:tc>
        <w:tc>
          <w:tcPr>
            <w:tcW w:w="3081" w:type="dxa"/>
          </w:tcPr>
          <w:p w14:paraId="7C5EC0EC" w14:textId="77777777" w:rsid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1.041.150</w:t>
            </w:r>
          </w:p>
        </w:tc>
        <w:tc>
          <w:tcPr>
            <w:tcW w:w="3081" w:type="dxa"/>
          </w:tcPr>
          <w:p w14:paraId="5A1C2308" w14:textId="77777777" w:rsid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961.917</w:t>
            </w:r>
          </w:p>
        </w:tc>
      </w:tr>
      <w:tr w:rsidR="00F75257" w14:paraId="7A4A8932" w14:textId="77777777" w:rsidTr="00F75257">
        <w:tc>
          <w:tcPr>
            <w:tcW w:w="3080" w:type="dxa"/>
          </w:tcPr>
          <w:p w14:paraId="28C93EC0" w14:textId="77777777" w:rsid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2013/2013</w:t>
            </w:r>
          </w:p>
        </w:tc>
        <w:tc>
          <w:tcPr>
            <w:tcW w:w="3081" w:type="dxa"/>
          </w:tcPr>
          <w:p w14:paraId="4B7908F7" w14:textId="77777777" w:rsid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1.048.309</w:t>
            </w:r>
          </w:p>
        </w:tc>
        <w:tc>
          <w:tcPr>
            <w:tcW w:w="3081" w:type="dxa"/>
          </w:tcPr>
          <w:p w14:paraId="7D59D4ED" w14:textId="77777777" w:rsidR="00F75257" w:rsidRDefault="00F75257" w:rsidP="00C1155E">
            <w:pPr>
              <w:jc w:val="center"/>
              <w:rPr>
                <w:rFonts w:ascii="Times New Roman" w:eastAsia="Times New Roman" w:hAnsi="Times New Roman" w:cs="Times New Roman"/>
                <w:sz w:val="20"/>
                <w:szCs w:val="20"/>
              </w:rPr>
            </w:pPr>
            <w:r>
              <w:rPr>
                <w:rFonts w:ascii="Times New Roman" w:hAnsi="Times New Roman"/>
                <w:sz w:val="20"/>
              </w:rPr>
              <w:t>1.009.717</w:t>
            </w:r>
          </w:p>
        </w:tc>
      </w:tr>
    </w:tbl>
    <w:p w14:paraId="187E422C" w14:textId="77777777" w:rsidR="00C1155E" w:rsidRDefault="00C1155E" w:rsidP="00C1155E">
      <w:pPr>
        <w:spacing w:after="0" w:line="240" w:lineRule="auto"/>
        <w:jc w:val="center"/>
        <w:rPr>
          <w:rFonts w:ascii="Times New Roman" w:eastAsia="Times New Roman" w:hAnsi="Times New Roman" w:cs="Times New Roman"/>
          <w:sz w:val="24"/>
          <w:szCs w:val="24"/>
        </w:rPr>
      </w:pPr>
    </w:p>
    <w:p w14:paraId="3EBD40F7" w14:textId="77777777" w:rsidR="0048495A" w:rsidRDefault="00633B1E" w:rsidP="003041F8">
      <w:pPr>
        <w:numPr>
          <w:ilvl w:val="0"/>
          <w:numId w:val="5"/>
        </w:numPr>
        <w:spacing w:after="0" w:line="240" w:lineRule="auto"/>
        <w:ind w:left="360"/>
        <w:jc w:val="both"/>
        <w:rPr>
          <w:rFonts w:ascii="Times New Roman" w:eastAsia="Times New Roman" w:hAnsi="Times New Roman" w:cs="Times New Roman"/>
          <w:sz w:val="24"/>
          <w:szCs w:val="24"/>
        </w:rPr>
      </w:pPr>
      <w:r>
        <w:rPr>
          <w:rFonts w:ascii="Times New Roman" w:hAnsi="Times New Roman"/>
          <w:b/>
          <w:sz w:val="24"/>
        </w:rPr>
        <w:t>Sonstiges.</w:t>
      </w:r>
      <w:r>
        <w:rPr>
          <w:rFonts w:ascii="Times New Roman" w:hAnsi="Times New Roman"/>
          <w:sz w:val="24"/>
        </w:rPr>
        <w:t xml:space="preserve"> Verschiedene </w:t>
      </w:r>
      <w:r>
        <w:rPr>
          <w:rFonts w:ascii="Times New Roman" w:hAnsi="Times New Roman"/>
          <w:i/>
          <w:sz w:val="24"/>
        </w:rPr>
        <w:t>andere</w:t>
      </w:r>
      <w:r>
        <w:rPr>
          <w:rFonts w:ascii="Times New Roman" w:hAnsi="Times New Roman"/>
          <w:sz w:val="24"/>
        </w:rPr>
        <w:t xml:space="preserve"> Verfahren zur Klärung von Streitigkeiten könnten in ähnlicher Weise modernisiert werden. Unbeschadet des Fortschritts bei der ADR-Einführung zur Klärung von Meinungsverschiedenheiten in </w:t>
      </w:r>
      <w:r>
        <w:rPr>
          <w:rFonts w:ascii="Times New Roman" w:hAnsi="Times New Roman"/>
          <w:i/>
          <w:sz w:val="24"/>
        </w:rPr>
        <w:t>Familien</w:t>
      </w:r>
      <w:r w:rsidR="008803BC">
        <w:rPr>
          <w:rFonts w:ascii="Times New Roman" w:hAnsi="Times New Roman"/>
          <w:i/>
          <w:sz w:val="24"/>
        </w:rPr>
        <w:t xml:space="preserve"> </w:t>
      </w:r>
      <w:r>
        <w:rPr>
          <w:rFonts w:ascii="Times New Roman" w:hAnsi="Times New Roman"/>
          <w:sz w:val="24"/>
        </w:rPr>
        <w:t xml:space="preserve">und am </w:t>
      </w:r>
      <w:r>
        <w:rPr>
          <w:rFonts w:ascii="Times New Roman" w:hAnsi="Times New Roman"/>
          <w:i/>
          <w:sz w:val="24"/>
        </w:rPr>
        <w:t>Arbeitsplatz</w:t>
      </w:r>
      <w:r>
        <w:rPr>
          <w:rFonts w:ascii="Times New Roman" w:hAnsi="Times New Roman"/>
          <w:sz w:val="24"/>
        </w:rPr>
        <w:t xml:space="preserve"> kann eine weitere Umgestaltung erreicht werden, wenn die Ausgangsarchitektur überprüft wird. </w:t>
      </w:r>
    </w:p>
    <w:p w14:paraId="795B704C" w14:textId="5EB51F20" w:rsidR="007F436F" w:rsidRPr="00A952C7" w:rsidRDefault="0048495A" w:rsidP="00BD7764">
      <w:pPr>
        <w:widowControl w:val="0"/>
        <w:autoSpaceDE w:val="0"/>
        <w:autoSpaceDN w:val="0"/>
        <w:adjustRightInd w:val="0"/>
        <w:spacing w:after="0" w:line="240" w:lineRule="auto"/>
        <w:rPr>
          <w:rFonts w:cs="Verdana"/>
          <w:sz w:val="16"/>
          <w:szCs w:val="16"/>
          <w:lang w:val="de-DE"/>
        </w:rPr>
      </w:pPr>
      <w:r>
        <w:rPr>
          <w:rFonts w:ascii="Times New Roman" w:hAnsi="Times New Roman"/>
          <w:sz w:val="24"/>
        </w:rPr>
        <w:t xml:space="preserve">Seit 2014 müssen alle arbeitsrechtlichen Ansprüche bei ACAS gemeldet werden, </w:t>
      </w:r>
      <w:r w:rsidR="002826CD">
        <w:rPr>
          <w:rFonts w:ascii="Times New Roman" w:hAnsi="Times New Roman"/>
          <w:sz w:val="24"/>
        </w:rPr>
        <w:t>einem Vermittlungs- und Beratungsgremium für arbeitsrechtliche Fragestellungen</w:t>
      </w:r>
      <w:r w:rsidR="00BD7764">
        <w:rPr>
          <w:rStyle w:val="Funotenzeichen"/>
          <w:rFonts w:ascii="Times New Roman" w:hAnsi="Times New Roman"/>
          <w:sz w:val="24"/>
        </w:rPr>
        <w:footnoteReference w:id="37"/>
      </w:r>
      <w:r w:rsidR="00BD7764">
        <w:rPr>
          <w:rFonts w:ascii="Times New Roman" w:hAnsi="Times New Roman"/>
          <w:sz w:val="24"/>
        </w:rPr>
        <w:t>,</w:t>
      </w:r>
      <w:r w:rsidR="002826CD">
        <w:rPr>
          <w:rFonts w:ascii="Times New Roman" w:hAnsi="Times New Roman"/>
          <w:sz w:val="24"/>
        </w:rPr>
        <w:t xml:space="preserve"> </w:t>
      </w:r>
      <w:r>
        <w:rPr>
          <w:rFonts w:ascii="Times New Roman" w:hAnsi="Times New Roman"/>
          <w:sz w:val="24"/>
        </w:rPr>
        <w:t xml:space="preserve">das eingreifen kann, um durch Mediation oder andere Verfahren eine Einigung zu erreichen. Diese Bedingung </w:t>
      </w:r>
      <w:proofErr w:type="gramStart"/>
      <w:r>
        <w:rPr>
          <w:rFonts w:ascii="Times New Roman" w:hAnsi="Times New Roman"/>
          <w:sz w:val="24"/>
        </w:rPr>
        <w:t>ist</w:t>
      </w:r>
      <w:proofErr w:type="gramEnd"/>
      <w:r>
        <w:rPr>
          <w:rFonts w:ascii="Times New Roman" w:hAnsi="Times New Roman"/>
          <w:sz w:val="24"/>
        </w:rPr>
        <w:t xml:space="preserve"> Voraussetzung für die Zulassung einer Klage vor einem Arbeitsgericht. Die Einzelklagen vor Arbeitsgerichten sanken zwischen April und Juni 2014 im Vergleich zum Vorjahreszeitraum 2013 um 70 %:</w:t>
      </w:r>
      <w:r>
        <w:rPr>
          <w:rStyle w:val="Funotenzeichen"/>
          <w:rFonts w:ascii="Times New Roman" w:hAnsi="Times New Roman"/>
          <w:sz w:val="24"/>
        </w:rPr>
        <w:footnoteReference w:id="38"/>
      </w:r>
      <w:r>
        <w:rPr>
          <w:rFonts w:ascii="Times New Roman" w:hAnsi="Times New Roman"/>
          <w:sz w:val="24"/>
        </w:rPr>
        <w:t xml:space="preserve"> Zurückzuführen war dies darauf, dass die TUC die Kosten für die Arbeitsgerichte im April 2013 erhöhte.</w:t>
      </w:r>
      <w:r>
        <w:rPr>
          <w:rStyle w:val="Funotenzeichen"/>
          <w:rFonts w:ascii="Times New Roman" w:hAnsi="Times New Roman"/>
          <w:sz w:val="24"/>
        </w:rPr>
        <w:footnoteReference w:id="39"/>
      </w:r>
      <w:r w:rsidR="007F436F" w:rsidRPr="007F436F">
        <w:rPr>
          <w:rFonts w:cs="Verdana"/>
          <w:sz w:val="16"/>
          <w:szCs w:val="16"/>
          <w:lang w:val="de-DE"/>
        </w:rPr>
        <w:t xml:space="preserve"> </w:t>
      </w:r>
    </w:p>
    <w:p w14:paraId="343553EE" w14:textId="66325C19" w:rsidR="007F436F" w:rsidRPr="00A952C7" w:rsidRDefault="009E400F" w:rsidP="007F436F">
      <w:pPr>
        <w:widowControl w:val="0"/>
        <w:autoSpaceDE w:val="0"/>
        <w:autoSpaceDN w:val="0"/>
        <w:adjustRightInd w:val="0"/>
        <w:spacing w:after="0" w:line="240" w:lineRule="auto"/>
        <w:rPr>
          <w:rFonts w:cs="Verdana"/>
          <w:sz w:val="16"/>
          <w:szCs w:val="16"/>
          <w:lang w:val="de-DE"/>
        </w:rPr>
      </w:pPr>
      <w:r>
        <w:rPr>
          <w:rFonts w:ascii="Times New Roman" w:hAnsi="Times New Roman"/>
          <w:sz w:val="24"/>
        </w:rPr>
        <w:t>Bei Streitigkeiten in Familien schlug der President of the Family Division of the High Court of England and Wales kürzlich Folgendes vor:</w:t>
      </w:r>
      <w:r w:rsidR="007F436F" w:rsidRPr="007F436F">
        <w:rPr>
          <w:rFonts w:cs="Verdana"/>
          <w:sz w:val="16"/>
          <w:szCs w:val="16"/>
          <w:lang w:val="de-DE"/>
        </w:rPr>
        <w:t xml:space="preserve"> </w:t>
      </w:r>
    </w:p>
    <w:p w14:paraId="7082FAD0" w14:textId="3D5174F6" w:rsidR="00282B90" w:rsidRPr="00282B90" w:rsidRDefault="009E400F" w:rsidP="003041F8">
      <w:pPr>
        <w:spacing w:after="0" w:line="240" w:lineRule="auto"/>
        <w:ind w:left="1080"/>
        <w:jc w:val="both"/>
        <w:rPr>
          <w:rFonts w:ascii="Times New Roman" w:eastAsia="Times New Roman" w:hAnsi="Times New Roman" w:cs="Times New Roman"/>
          <w:sz w:val="24"/>
          <w:szCs w:val="24"/>
        </w:rPr>
      </w:pPr>
      <w:r>
        <w:rPr>
          <w:rFonts w:ascii="Times New Roman" w:hAnsi="Times New Roman"/>
        </w:rPr>
        <w:t xml:space="preserve">Ist nicht die Zeit gekommen, in der Gesetzgebung alle Konzepte der Schuldfrage </w:t>
      </w:r>
      <w:proofErr w:type="gramStart"/>
      <w:r>
        <w:rPr>
          <w:rFonts w:ascii="Times New Roman" w:hAnsi="Times New Roman"/>
        </w:rPr>
        <w:t>als</w:t>
      </w:r>
      <w:proofErr w:type="gramEnd"/>
      <w:r>
        <w:rPr>
          <w:rFonts w:ascii="Times New Roman" w:hAnsi="Times New Roman"/>
        </w:rPr>
        <w:t xml:space="preserve"> Grundlage für eine Scheidung zu streichen und als einzigen Scheidungsgrund dauerhafte Zerrüttung anzuerkennen? Ist nicht die Zeit gekommen, den Scheidungsprozess von den Ansprüchen auf Unterhalt nach der Scheidung zu trennen, so wie wir auch den Scheidungsprozess von dem Prozess über das Sorgerecht nach der Scheidung getrennt haben? </w:t>
      </w:r>
      <w:r w:rsidR="001852AA">
        <w:rPr>
          <w:rFonts w:ascii="Times New Roman" w:hAnsi="Times New Roman"/>
        </w:rPr>
        <w:t>S</w:t>
      </w:r>
      <w:r>
        <w:rPr>
          <w:rFonts w:ascii="Times New Roman" w:hAnsi="Times New Roman"/>
        </w:rPr>
        <w:t xml:space="preserve">ollte nicht zumindest </w:t>
      </w:r>
      <w:r w:rsidR="001852AA">
        <w:rPr>
          <w:rFonts w:ascii="Times New Roman" w:hAnsi="Times New Roman"/>
        </w:rPr>
        <w:t xml:space="preserve">jetzt die Zeit kommen zu </w:t>
      </w:r>
      <w:r>
        <w:rPr>
          <w:rFonts w:ascii="Times New Roman" w:hAnsi="Times New Roman"/>
        </w:rPr>
        <w:t>erwägen, ob eine Scheidung immer noch vor Gericht verhandelt werden muss?</w:t>
      </w:r>
      <w:r>
        <w:rPr>
          <w:rStyle w:val="Funotenzeichen"/>
          <w:rFonts w:ascii="Times New Roman" w:hAnsi="Times New Roman"/>
          <w:sz w:val="24"/>
        </w:rPr>
        <w:footnoteReference w:id="40"/>
      </w:r>
    </w:p>
    <w:p w14:paraId="6BDCE3C3" w14:textId="1718EC5B" w:rsidR="0048495A" w:rsidRDefault="007C07B5" w:rsidP="003041F8">
      <w:pPr>
        <w:spacing w:after="0" w:line="240" w:lineRule="auto"/>
        <w:ind w:left="349"/>
        <w:jc w:val="both"/>
        <w:rPr>
          <w:rFonts w:ascii="Times New Roman" w:eastAsia="Times New Roman" w:hAnsi="Times New Roman" w:cs="Times New Roman"/>
          <w:sz w:val="24"/>
          <w:szCs w:val="24"/>
        </w:rPr>
      </w:pPr>
      <w:r>
        <w:rPr>
          <w:rFonts w:ascii="Times New Roman" w:hAnsi="Times New Roman"/>
          <w:sz w:val="24"/>
        </w:rPr>
        <w:t xml:space="preserve">Sowohl bei familien- als auch arbeitsrechtlichen Streitigkeiten und zweifellos noch bei </w:t>
      </w:r>
      <w:r w:rsidR="001852AA">
        <w:rPr>
          <w:rFonts w:ascii="Times New Roman" w:hAnsi="Times New Roman"/>
          <w:sz w:val="24"/>
        </w:rPr>
        <w:t xml:space="preserve">verschiedenen </w:t>
      </w:r>
      <w:r>
        <w:rPr>
          <w:rFonts w:ascii="Times New Roman" w:hAnsi="Times New Roman"/>
          <w:sz w:val="24"/>
        </w:rPr>
        <w:t xml:space="preserve">weiteren Streitigkeiten kann man sich eine modernisierte Prozedur vorstellen, um die Ansprüche schneller und kostengünstiger als in den vorhandenen Kanälen zu bearbeiten, ohne dass Fachkenntnis oder Unabhängigkeit darunter leiden oder sich die Zahl fairer Prozesse oder gerechter </w:t>
      </w:r>
      <w:r w:rsidR="001852AA">
        <w:rPr>
          <w:rFonts w:ascii="Times New Roman" w:hAnsi="Times New Roman"/>
          <w:sz w:val="24"/>
        </w:rPr>
        <w:t xml:space="preserve">Ergebnisse </w:t>
      </w:r>
      <w:r>
        <w:rPr>
          <w:rFonts w:ascii="Times New Roman" w:hAnsi="Times New Roman"/>
          <w:sz w:val="24"/>
        </w:rPr>
        <w:t>verringert.</w:t>
      </w:r>
    </w:p>
    <w:p w14:paraId="141AA6C1" w14:textId="77777777" w:rsidR="003041F8" w:rsidRDefault="003041F8" w:rsidP="00E77015">
      <w:pPr>
        <w:spacing w:after="0" w:line="240" w:lineRule="auto"/>
        <w:jc w:val="both"/>
        <w:rPr>
          <w:rFonts w:ascii="Times New Roman" w:eastAsia="Times New Roman" w:hAnsi="Times New Roman" w:cs="Times New Roman"/>
          <w:sz w:val="24"/>
          <w:szCs w:val="24"/>
        </w:rPr>
      </w:pPr>
    </w:p>
    <w:p w14:paraId="5D7BF7C7" w14:textId="493D3ED7" w:rsidR="00BA61E1" w:rsidRDefault="003B440F" w:rsidP="00E77015">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Zusammengenommen </w:t>
      </w:r>
      <w:r w:rsidR="004776C9">
        <w:rPr>
          <w:rFonts w:ascii="Times New Roman" w:hAnsi="Times New Roman"/>
          <w:sz w:val="24"/>
        </w:rPr>
        <w:t>ergeb</w:t>
      </w:r>
      <w:r w:rsidR="00282B90">
        <w:rPr>
          <w:rFonts w:ascii="Times New Roman" w:hAnsi="Times New Roman"/>
          <w:sz w:val="24"/>
        </w:rPr>
        <w:t>en diese Veränderungen</w:t>
      </w:r>
      <w:r>
        <w:rPr>
          <w:rFonts w:ascii="Times New Roman" w:hAnsi="Times New Roman"/>
          <w:sz w:val="24"/>
        </w:rPr>
        <w:t>, die alle zusammenpassen können</w:t>
      </w:r>
      <w:proofErr w:type="gramStart"/>
      <w:r>
        <w:rPr>
          <w:rFonts w:ascii="Times New Roman" w:hAnsi="Times New Roman"/>
          <w:sz w:val="24"/>
        </w:rPr>
        <w:t>,</w:t>
      </w:r>
      <w:r w:rsidR="00282B90">
        <w:rPr>
          <w:rFonts w:ascii="Times New Roman" w:hAnsi="Times New Roman"/>
          <w:sz w:val="24"/>
        </w:rPr>
        <w:t xml:space="preserve">  ein</w:t>
      </w:r>
      <w:proofErr w:type="gramEnd"/>
      <w:r w:rsidR="00282B90">
        <w:rPr>
          <w:rFonts w:ascii="Times New Roman" w:hAnsi="Times New Roman"/>
          <w:sz w:val="24"/>
        </w:rPr>
        <w:t xml:space="preserve"> effektive</w:t>
      </w:r>
      <w:r>
        <w:rPr>
          <w:rFonts w:ascii="Times New Roman" w:hAnsi="Times New Roman"/>
          <w:sz w:val="24"/>
        </w:rPr>
        <w:t>s</w:t>
      </w:r>
      <w:r w:rsidR="00282B90">
        <w:rPr>
          <w:rFonts w:ascii="Times New Roman" w:hAnsi="Times New Roman"/>
          <w:sz w:val="24"/>
        </w:rPr>
        <w:t xml:space="preserve"> Streitbeilegungssystem, das seinen Zweck erfüllt, kostengünstig ist</w:t>
      </w:r>
      <w:r>
        <w:rPr>
          <w:rFonts w:ascii="Times New Roman" w:hAnsi="Times New Roman"/>
          <w:sz w:val="24"/>
        </w:rPr>
        <w:t xml:space="preserve"> und dabei nicht-konfrontativ</w:t>
      </w:r>
      <w:r w:rsidR="00282B90">
        <w:rPr>
          <w:rFonts w:ascii="Times New Roman" w:hAnsi="Times New Roman"/>
          <w:sz w:val="24"/>
        </w:rPr>
        <w:t xml:space="preserve">, </w:t>
      </w:r>
      <w:r w:rsidR="004776C9">
        <w:rPr>
          <w:rFonts w:ascii="Times New Roman" w:hAnsi="Times New Roman"/>
          <w:sz w:val="24"/>
        </w:rPr>
        <w:t xml:space="preserve">das </w:t>
      </w:r>
      <w:r w:rsidR="00282B90">
        <w:rPr>
          <w:rFonts w:ascii="Times New Roman" w:hAnsi="Times New Roman"/>
          <w:sz w:val="24"/>
        </w:rPr>
        <w:t xml:space="preserve">mehr </w:t>
      </w:r>
      <w:r>
        <w:rPr>
          <w:rFonts w:ascii="Times New Roman" w:hAnsi="Times New Roman"/>
          <w:sz w:val="24"/>
        </w:rPr>
        <w:t>Konflikte</w:t>
      </w:r>
      <w:r w:rsidR="00282B90">
        <w:rPr>
          <w:rFonts w:ascii="Times New Roman" w:hAnsi="Times New Roman"/>
          <w:sz w:val="24"/>
        </w:rPr>
        <w:t xml:space="preserve"> </w:t>
      </w:r>
      <w:r>
        <w:rPr>
          <w:rFonts w:ascii="Times New Roman" w:hAnsi="Times New Roman"/>
          <w:sz w:val="24"/>
        </w:rPr>
        <w:t xml:space="preserve">auf sich zieht und diese </w:t>
      </w:r>
      <w:r w:rsidR="00282B90">
        <w:rPr>
          <w:rFonts w:ascii="Times New Roman" w:hAnsi="Times New Roman"/>
          <w:sz w:val="24"/>
        </w:rPr>
        <w:t xml:space="preserve">schneller </w:t>
      </w:r>
      <w:r>
        <w:rPr>
          <w:rFonts w:ascii="Times New Roman" w:hAnsi="Times New Roman"/>
          <w:sz w:val="24"/>
        </w:rPr>
        <w:t>löst,</w:t>
      </w:r>
      <w:r w:rsidR="00282B90">
        <w:rPr>
          <w:rFonts w:ascii="Times New Roman" w:hAnsi="Times New Roman"/>
          <w:sz w:val="24"/>
        </w:rPr>
        <w:t xml:space="preserve"> und </w:t>
      </w:r>
      <w:r>
        <w:rPr>
          <w:rFonts w:ascii="Times New Roman" w:hAnsi="Times New Roman"/>
          <w:sz w:val="24"/>
        </w:rPr>
        <w:t xml:space="preserve">dazu noch </w:t>
      </w:r>
      <w:r w:rsidR="00282B90">
        <w:rPr>
          <w:rFonts w:ascii="Times New Roman" w:hAnsi="Times New Roman"/>
          <w:sz w:val="24"/>
        </w:rPr>
        <w:t xml:space="preserve">einen </w:t>
      </w:r>
      <w:r>
        <w:rPr>
          <w:rFonts w:ascii="Times New Roman" w:hAnsi="Times New Roman"/>
          <w:sz w:val="24"/>
        </w:rPr>
        <w:t xml:space="preserve">wirkmächtigen </w:t>
      </w:r>
      <w:r w:rsidR="00282B90">
        <w:rPr>
          <w:rFonts w:ascii="Times New Roman" w:hAnsi="Times New Roman"/>
          <w:sz w:val="24"/>
        </w:rPr>
        <w:t xml:space="preserve">Beitrag </w:t>
      </w:r>
      <w:r>
        <w:rPr>
          <w:rFonts w:ascii="Times New Roman" w:hAnsi="Times New Roman"/>
          <w:sz w:val="24"/>
        </w:rPr>
        <w:t>da</w:t>
      </w:r>
      <w:r w:rsidR="00282B90">
        <w:rPr>
          <w:rFonts w:ascii="Times New Roman" w:hAnsi="Times New Roman"/>
          <w:sz w:val="24"/>
        </w:rPr>
        <w:t>zu</w:t>
      </w:r>
      <w:r>
        <w:rPr>
          <w:rFonts w:ascii="Times New Roman" w:hAnsi="Times New Roman"/>
          <w:sz w:val="24"/>
        </w:rPr>
        <w:t xml:space="preserve"> leistet,</w:t>
      </w:r>
      <w:r w:rsidR="00282B90">
        <w:rPr>
          <w:rFonts w:ascii="Times New Roman" w:hAnsi="Times New Roman"/>
          <w:sz w:val="24"/>
        </w:rPr>
        <w:t xml:space="preserve"> Verhaltensnormen </w:t>
      </w:r>
      <w:r>
        <w:rPr>
          <w:rFonts w:ascii="Times New Roman" w:hAnsi="Times New Roman"/>
          <w:sz w:val="24"/>
        </w:rPr>
        <w:t>zur Geltung zu verhelfen und diese zu verbessern</w:t>
      </w:r>
      <w:r w:rsidR="00282B90">
        <w:rPr>
          <w:rFonts w:ascii="Times New Roman" w:hAnsi="Times New Roman"/>
          <w:sz w:val="24"/>
        </w:rPr>
        <w:t xml:space="preserve">. Effektive ADR-/CDR-/ODR-Funktionen können </w:t>
      </w:r>
      <w:r w:rsidR="00AA6955">
        <w:rPr>
          <w:rFonts w:ascii="Times New Roman" w:hAnsi="Times New Roman"/>
          <w:sz w:val="24"/>
        </w:rPr>
        <w:t>wirkmächtig</w:t>
      </w:r>
      <w:r w:rsidR="00282B90">
        <w:rPr>
          <w:rFonts w:ascii="Times New Roman" w:hAnsi="Times New Roman"/>
          <w:sz w:val="24"/>
        </w:rPr>
        <w:t xml:space="preserve">ere </w:t>
      </w:r>
      <w:r w:rsidR="00282B90">
        <w:rPr>
          <w:rFonts w:ascii="Times New Roman" w:hAnsi="Times New Roman"/>
          <w:sz w:val="24"/>
        </w:rPr>
        <w:lastRenderedPageBreak/>
        <w:t xml:space="preserve">Mechanismen und umfassendere Funktionen bereitstellen </w:t>
      </w:r>
      <w:proofErr w:type="gramStart"/>
      <w:r w:rsidR="00282B90">
        <w:rPr>
          <w:rFonts w:ascii="Times New Roman" w:hAnsi="Times New Roman"/>
          <w:sz w:val="24"/>
        </w:rPr>
        <w:t>als</w:t>
      </w:r>
      <w:proofErr w:type="gramEnd"/>
      <w:r w:rsidR="00282B90">
        <w:rPr>
          <w:rFonts w:ascii="Times New Roman" w:hAnsi="Times New Roman"/>
          <w:sz w:val="24"/>
        </w:rPr>
        <w:t xml:space="preserve"> Gerichte, Schiedsgerichte, öffentliche Anhörungen und </w:t>
      </w:r>
      <w:r w:rsidR="00AA6955">
        <w:rPr>
          <w:rFonts w:ascii="Times New Roman" w:hAnsi="Times New Roman"/>
          <w:sz w:val="24"/>
        </w:rPr>
        <w:t>Staatsanwaltschaften</w:t>
      </w:r>
      <w:r w:rsidR="00282B90">
        <w:rPr>
          <w:rFonts w:ascii="Times New Roman" w:hAnsi="Times New Roman"/>
          <w:sz w:val="24"/>
        </w:rPr>
        <w:t xml:space="preserve">. </w:t>
      </w:r>
      <w:proofErr w:type="gramStart"/>
      <w:r w:rsidR="00282B90">
        <w:rPr>
          <w:rFonts w:ascii="Times New Roman" w:hAnsi="Times New Roman"/>
          <w:sz w:val="24"/>
        </w:rPr>
        <w:t>Es kann mit erheblichen Kosteneinsparungen gerechnet werden, wenn die institutionelle Architektur in dieser Weise modernisiert und rationalisiert wird.</w:t>
      </w:r>
      <w:proofErr w:type="gramEnd"/>
      <w:r w:rsidR="00282B90">
        <w:rPr>
          <w:rFonts w:ascii="Times New Roman" w:hAnsi="Times New Roman"/>
          <w:sz w:val="24"/>
        </w:rPr>
        <w:t xml:space="preserve"> Bei Entscheidungen über die Implementierung der Verbraucher-ADR-Richtlinie </w:t>
      </w:r>
      <w:r w:rsidR="00AA6955">
        <w:rPr>
          <w:rFonts w:ascii="Times New Roman" w:hAnsi="Times New Roman"/>
          <w:sz w:val="24"/>
        </w:rPr>
        <w:t xml:space="preserve">sollte </w:t>
      </w:r>
      <w:r w:rsidR="00282B90">
        <w:rPr>
          <w:rFonts w:ascii="Times New Roman" w:hAnsi="Times New Roman"/>
          <w:sz w:val="24"/>
        </w:rPr>
        <w:t xml:space="preserve">diese Vision daher </w:t>
      </w:r>
      <w:r w:rsidR="00AA6955">
        <w:rPr>
          <w:rFonts w:ascii="Times New Roman" w:hAnsi="Times New Roman"/>
          <w:sz w:val="24"/>
        </w:rPr>
        <w:t xml:space="preserve">immer deutlich im </w:t>
      </w:r>
      <w:r w:rsidR="00282B90">
        <w:rPr>
          <w:rFonts w:ascii="Times New Roman" w:hAnsi="Times New Roman"/>
          <w:sz w:val="24"/>
        </w:rPr>
        <w:t xml:space="preserve">Blickfeld </w:t>
      </w:r>
      <w:r w:rsidR="00AA6955">
        <w:rPr>
          <w:rFonts w:ascii="Times New Roman" w:hAnsi="Times New Roman"/>
          <w:sz w:val="24"/>
        </w:rPr>
        <w:t>bleiben</w:t>
      </w:r>
      <w:r w:rsidR="00282B90">
        <w:rPr>
          <w:rFonts w:ascii="Times New Roman" w:hAnsi="Times New Roman"/>
          <w:sz w:val="24"/>
        </w:rPr>
        <w:t xml:space="preserve">. </w:t>
      </w:r>
      <w:r w:rsidR="00AA6955">
        <w:rPr>
          <w:rFonts w:ascii="Times New Roman" w:hAnsi="Times New Roman"/>
          <w:sz w:val="24"/>
        </w:rPr>
        <w:t xml:space="preserve">Und </w:t>
      </w:r>
      <w:proofErr w:type="gramStart"/>
      <w:r w:rsidR="00AA6955">
        <w:rPr>
          <w:rFonts w:ascii="Times New Roman" w:hAnsi="Times New Roman"/>
          <w:sz w:val="24"/>
        </w:rPr>
        <w:t>ist</w:t>
      </w:r>
      <w:proofErr w:type="gramEnd"/>
      <w:r w:rsidR="00AA6955">
        <w:rPr>
          <w:rFonts w:ascii="Times New Roman" w:hAnsi="Times New Roman"/>
          <w:sz w:val="24"/>
        </w:rPr>
        <w:t xml:space="preserve"> es nich</w:t>
      </w:r>
      <w:r w:rsidR="00BA1608">
        <w:rPr>
          <w:rFonts w:ascii="Times New Roman" w:hAnsi="Times New Roman"/>
          <w:sz w:val="24"/>
        </w:rPr>
        <w:t>t</w:t>
      </w:r>
      <w:r w:rsidR="00AA6955">
        <w:rPr>
          <w:rFonts w:ascii="Times New Roman" w:hAnsi="Times New Roman"/>
          <w:sz w:val="24"/>
        </w:rPr>
        <w:t xml:space="preserve"> d</w:t>
      </w:r>
      <w:r w:rsidR="00282B90">
        <w:rPr>
          <w:rFonts w:ascii="Times New Roman" w:hAnsi="Times New Roman"/>
          <w:sz w:val="24"/>
        </w:rPr>
        <w:t xml:space="preserve">arüber hinaus Zeit, dass die </w:t>
      </w:r>
      <w:r w:rsidR="00AA6955">
        <w:rPr>
          <w:rFonts w:ascii="Times New Roman" w:hAnsi="Times New Roman"/>
          <w:sz w:val="24"/>
        </w:rPr>
        <w:t xml:space="preserve">Regierungen </w:t>
      </w:r>
      <w:r w:rsidR="00282B90">
        <w:rPr>
          <w:rFonts w:ascii="Times New Roman" w:hAnsi="Times New Roman"/>
          <w:sz w:val="24"/>
        </w:rPr>
        <w:t xml:space="preserve">eine neue </w:t>
      </w:r>
      <w:r w:rsidR="00AA6955">
        <w:rPr>
          <w:rFonts w:ascii="Times New Roman" w:hAnsi="Times New Roman"/>
          <w:sz w:val="24"/>
        </w:rPr>
        <w:t>Zielvorstellung</w:t>
      </w:r>
      <w:r w:rsidR="00282B90">
        <w:rPr>
          <w:rFonts w:ascii="Times New Roman" w:hAnsi="Times New Roman"/>
          <w:sz w:val="24"/>
        </w:rPr>
        <w:t xml:space="preserve"> für </w:t>
      </w:r>
      <w:r w:rsidR="00AA6955">
        <w:rPr>
          <w:rFonts w:ascii="Times New Roman" w:hAnsi="Times New Roman"/>
          <w:sz w:val="24"/>
        </w:rPr>
        <w:t>ein</w:t>
      </w:r>
      <w:r w:rsidR="00282B90">
        <w:rPr>
          <w:rFonts w:ascii="Times New Roman" w:hAnsi="Times New Roman"/>
          <w:sz w:val="24"/>
        </w:rPr>
        <w:t xml:space="preserve"> Streitbeilegung</w:t>
      </w:r>
      <w:r w:rsidR="00AA6955">
        <w:rPr>
          <w:rFonts w:ascii="Times New Roman" w:hAnsi="Times New Roman"/>
          <w:sz w:val="24"/>
        </w:rPr>
        <w:t>ssystem</w:t>
      </w:r>
      <w:r w:rsidR="00282B90">
        <w:rPr>
          <w:rFonts w:ascii="Times New Roman" w:hAnsi="Times New Roman"/>
          <w:sz w:val="24"/>
        </w:rPr>
        <w:t xml:space="preserve"> entwickeln, in de</w:t>
      </w:r>
      <w:r w:rsidR="00AA6955">
        <w:rPr>
          <w:rFonts w:ascii="Times New Roman" w:hAnsi="Times New Roman"/>
          <w:sz w:val="24"/>
        </w:rPr>
        <w:t>m</w:t>
      </w:r>
      <w:r w:rsidR="00282B90">
        <w:rPr>
          <w:rFonts w:ascii="Times New Roman" w:hAnsi="Times New Roman"/>
          <w:sz w:val="24"/>
        </w:rPr>
        <w:t xml:space="preserve"> Ansprüche </w:t>
      </w:r>
      <w:r w:rsidR="00AA6955">
        <w:rPr>
          <w:rFonts w:ascii="Times New Roman" w:hAnsi="Times New Roman"/>
          <w:sz w:val="24"/>
        </w:rPr>
        <w:t xml:space="preserve">aller </w:t>
      </w:r>
      <w:r w:rsidR="00282B90">
        <w:rPr>
          <w:rFonts w:ascii="Times New Roman" w:hAnsi="Times New Roman"/>
          <w:sz w:val="24"/>
        </w:rPr>
        <w:t xml:space="preserve">Art durch angemessene, neue Kanäle </w:t>
      </w:r>
      <w:r w:rsidR="00BA1608">
        <w:rPr>
          <w:rFonts w:ascii="Times New Roman" w:hAnsi="Times New Roman"/>
          <w:sz w:val="24"/>
        </w:rPr>
        <w:t>eine Lösung finden</w:t>
      </w:r>
      <w:r w:rsidR="00AA6955">
        <w:rPr>
          <w:rFonts w:ascii="Times New Roman" w:hAnsi="Times New Roman"/>
          <w:sz w:val="24"/>
        </w:rPr>
        <w:t>?</w:t>
      </w:r>
    </w:p>
    <w:p w14:paraId="77DD79F0" w14:textId="77777777" w:rsidR="00270EE9" w:rsidRDefault="00270EE9" w:rsidP="00E77015">
      <w:pPr>
        <w:spacing w:after="0" w:line="240" w:lineRule="auto"/>
        <w:jc w:val="both"/>
        <w:rPr>
          <w:rFonts w:ascii="Times New Roman" w:eastAsia="Times New Roman" w:hAnsi="Times New Roman" w:cs="Times New Roman"/>
          <w:sz w:val="24"/>
          <w:szCs w:val="24"/>
        </w:rPr>
      </w:pPr>
    </w:p>
    <w:p w14:paraId="069BD491" w14:textId="77777777" w:rsidR="00270EE9" w:rsidRDefault="00270EE9" w:rsidP="00E77015">
      <w:pPr>
        <w:spacing w:after="0" w:line="240" w:lineRule="auto"/>
        <w:jc w:val="both"/>
        <w:rPr>
          <w:rFonts w:ascii="Times New Roman" w:eastAsia="Times New Roman" w:hAnsi="Times New Roman" w:cs="Times New Roman"/>
          <w:sz w:val="24"/>
          <w:szCs w:val="24"/>
        </w:rPr>
      </w:pPr>
    </w:p>
    <w:p w14:paraId="23367334" w14:textId="5F0D0AE1" w:rsidR="00270EE9" w:rsidRDefault="00270EE9" w:rsidP="00270EE9">
      <w:pPr>
        <w:spacing w:after="0" w:line="240" w:lineRule="auto"/>
        <w:jc w:val="center"/>
        <w:rPr>
          <w:rFonts w:ascii="Times New Roman" w:eastAsia="Times New Roman" w:hAnsi="Times New Roman" w:cs="Times New Roman"/>
          <w:sz w:val="24"/>
          <w:szCs w:val="24"/>
        </w:rPr>
      </w:pPr>
      <w:r>
        <w:rPr>
          <w:rFonts w:ascii="Times New Roman" w:hAnsi="Times New Roman"/>
          <w:b/>
          <w:sz w:val="24"/>
        </w:rPr>
        <w:t>D</w:t>
      </w:r>
      <w:r w:rsidR="00BA1608">
        <w:rPr>
          <w:rFonts w:ascii="Times New Roman" w:hAnsi="Times New Roman"/>
          <w:b/>
          <w:sz w:val="24"/>
        </w:rPr>
        <w:t>i</w:t>
      </w:r>
      <w:r>
        <w:rPr>
          <w:rFonts w:ascii="Times New Roman" w:hAnsi="Times New Roman"/>
          <w:b/>
          <w:sz w:val="24"/>
        </w:rPr>
        <w:t>e</w:t>
      </w:r>
      <w:r w:rsidR="00BA1608">
        <w:rPr>
          <w:rFonts w:ascii="Times New Roman" w:hAnsi="Times New Roman"/>
          <w:b/>
          <w:sz w:val="24"/>
        </w:rPr>
        <w:t xml:space="preserve"> Abkehr</w:t>
      </w:r>
      <w:r>
        <w:rPr>
          <w:rFonts w:ascii="Times New Roman" w:hAnsi="Times New Roman"/>
          <w:b/>
          <w:sz w:val="24"/>
        </w:rPr>
        <w:t xml:space="preserve"> vo</w:t>
      </w:r>
      <w:r w:rsidR="00BA1608">
        <w:rPr>
          <w:rFonts w:ascii="Times New Roman" w:hAnsi="Times New Roman"/>
          <w:b/>
          <w:sz w:val="24"/>
        </w:rPr>
        <w:t>n den</w:t>
      </w:r>
      <w:r>
        <w:rPr>
          <w:rFonts w:ascii="Times New Roman" w:hAnsi="Times New Roman"/>
          <w:b/>
          <w:sz w:val="24"/>
        </w:rPr>
        <w:t xml:space="preserve"> Gericht</w:t>
      </w:r>
      <w:r w:rsidR="00BA1608">
        <w:rPr>
          <w:rFonts w:ascii="Times New Roman" w:hAnsi="Times New Roman"/>
          <w:b/>
          <w:sz w:val="24"/>
        </w:rPr>
        <w:t>en hat schon begonnen</w:t>
      </w:r>
      <w:r>
        <w:rPr>
          <w:rFonts w:ascii="Times New Roman" w:hAnsi="Times New Roman"/>
          <w:b/>
          <w:sz w:val="24"/>
        </w:rPr>
        <w:t>.</w:t>
      </w:r>
    </w:p>
    <w:p w14:paraId="7AEE5207" w14:textId="77777777" w:rsidR="00270EE9" w:rsidRDefault="00270EE9" w:rsidP="00270EE9">
      <w:pPr>
        <w:spacing w:after="0" w:line="240" w:lineRule="auto"/>
        <w:jc w:val="both"/>
        <w:rPr>
          <w:rFonts w:ascii="Times New Roman" w:eastAsia="Times New Roman" w:hAnsi="Times New Roman" w:cs="Times New Roman"/>
          <w:b/>
          <w:sz w:val="24"/>
          <w:szCs w:val="24"/>
        </w:rPr>
      </w:pPr>
    </w:p>
    <w:p w14:paraId="23CDC2F7" w14:textId="57B3176A" w:rsidR="00270EE9" w:rsidRDefault="00270EE9" w:rsidP="00270EE9">
      <w:pPr>
        <w:spacing w:after="0" w:line="240" w:lineRule="auto"/>
        <w:jc w:val="both"/>
        <w:rPr>
          <w:rFonts w:ascii="Times New Roman" w:hAnsi="Times New Roman" w:cs="Times New Roman"/>
          <w:sz w:val="24"/>
          <w:szCs w:val="24"/>
        </w:rPr>
      </w:pPr>
      <w:r>
        <w:rPr>
          <w:rFonts w:ascii="Times New Roman" w:hAnsi="Times New Roman"/>
          <w:sz w:val="24"/>
        </w:rPr>
        <w:t>Gegenwärtig ist das Hauptziel der CDR-Richtlinie lediglich die Schaffung eines</w:t>
      </w:r>
      <w:r w:rsidR="008803BC">
        <w:rPr>
          <w:rFonts w:ascii="Times New Roman" w:hAnsi="Times New Roman"/>
          <w:sz w:val="24"/>
        </w:rPr>
        <w:t xml:space="preserve"> </w:t>
      </w:r>
      <w:r>
        <w:rPr>
          <w:rFonts w:ascii="Times New Roman" w:hAnsi="Times New Roman"/>
          <w:i/>
          <w:sz w:val="24"/>
        </w:rPr>
        <w:t>Rahmens</w:t>
      </w:r>
      <w:r>
        <w:rPr>
          <w:rFonts w:ascii="Times New Roman" w:hAnsi="Times New Roman"/>
          <w:sz w:val="24"/>
        </w:rPr>
        <w:t xml:space="preserve"> –allerdings eines ehrgeizigen und umfassenden paneuropäischen Rahmens – </w:t>
      </w:r>
      <w:r w:rsidR="00BA1608">
        <w:rPr>
          <w:rFonts w:ascii="Times New Roman" w:hAnsi="Times New Roman"/>
          <w:sz w:val="24"/>
        </w:rPr>
        <w:t xml:space="preserve">für </w:t>
      </w:r>
      <w:r>
        <w:rPr>
          <w:rFonts w:ascii="Times New Roman" w:hAnsi="Times New Roman"/>
          <w:sz w:val="24"/>
        </w:rPr>
        <w:t>CDR-</w:t>
      </w:r>
      <w:r w:rsidR="00BA1608">
        <w:rPr>
          <w:rFonts w:ascii="Times New Roman" w:hAnsi="Times New Roman"/>
          <w:sz w:val="24"/>
        </w:rPr>
        <w:t>Einheiten,</w:t>
      </w:r>
      <w:r>
        <w:rPr>
          <w:rFonts w:ascii="Times New Roman" w:hAnsi="Times New Roman"/>
          <w:sz w:val="24"/>
        </w:rPr>
        <w:t xml:space="preserve"> und eine</w:t>
      </w:r>
      <w:r w:rsidR="00BA1608">
        <w:rPr>
          <w:rFonts w:ascii="Times New Roman" w:hAnsi="Times New Roman"/>
          <w:sz w:val="24"/>
        </w:rPr>
        <w:t>r</w:t>
      </w:r>
      <w:r>
        <w:rPr>
          <w:rFonts w:ascii="Times New Roman" w:hAnsi="Times New Roman"/>
          <w:sz w:val="24"/>
        </w:rPr>
        <w:t xml:space="preserve"> grenzüberschreitend</w:t>
      </w:r>
      <w:r w:rsidR="00BA1608">
        <w:rPr>
          <w:rFonts w:ascii="Times New Roman" w:hAnsi="Times New Roman"/>
          <w:sz w:val="24"/>
        </w:rPr>
        <w:t xml:space="preserve"> tätig</w:t>
      </w:r>
      <w:r>
        <w:rPr>
          <w:rFonts w:ascii="Times New Roman" w:hAnsi="Times New Roman"/>
          <w:sz w:val="24"/>
        </w:rPr>
        <w:t>e</w:t>
      </w:r>
      <w:r w:rsidR="00BA1608">
        <w:rPr>
          <w:rFonts w:ascii="Times New Roman" w:hAnsi="Times New Roman"/>
          <w:sz w:val="24"/>
        </w:rPr>
        <w:t>n</w:t>
      </w:r>
      <w:r>
        <w:rPr>
          <w:rFonts w:ascii="Times New Roman" w:hAnsi="Times New Roman"/>
          <w:sz w:val="24"/>
        </w:rPr>
        <w:t xml:space="preserve"> </w:t>
      </w:r>
      <w:r w:rsidR="00BA1608">
        <w:rPr>
          <w:rFonts w:ascii="Times New Roman" w:hAnsi="Times New Roman"/>
          <w:sz w:val="24"/>
        </w:rPr>
        <w:t>Institution in Form der</w:t>
      </w:r>
      <w:r>
        <w:rPr>
          <w:rFonts w:ascii="Times New Roman" w:hAnsi="Times New Roman"/>
          <w:sz w:val="24"/>
        </w:rPr>
        <w:t xml:space="preserve"> ODR-Plattform. CDR </w:t>
      </w:r>
      <w:proofErr w:type="gramStart"/>
      <w:r w:rsidR="00BA1608">
        <w:rPr>
          <w:rFonts w:ascii="Times New Roman" w:hAnsi="Times New Roman"/>
          <w:sz w:val="24"/>
        </w:rPr>
        <w:t>ist</w:t>
      </w:r>
      <w:proofErr w:type="gramEnd"/>
      <w:r>
        <w:rPr>
          <w:rFonts w:ascii="Times New Roman" w:hAnsi="Times New Roman"/>
          <w:sz w:val="24"/>
        </w:rPr>
        <w:t xml:space="preserve"> als Alternative zu Gerichten</w:t>
      </w:r>
      <w:r w:rsidR="00BA1608">
        <w:rPr>
          <w:rFonts w:ascii="Times New Roman" w:hAnsi="Times New Roman"/>
          <w:sz w:val="24"/>
        </w:rPr>
        <w:t xml:space="preserve"> positioniert</w:t>
      </w:r>
      <w:r>
        <w:rPr>
          <w:rFonts w:ascii="Times New Roman" w:hAnsi="Times New Roman"/>
          <w:sz w:val="24"/>
        </w:rPr>
        <w:t xml:space="preserve">, insbesondere bei Bagatellansprüchen und </w:t>
      </w:r>
      <w:r w:rsidR="00BA1608">
        <w:rPr>
          <w:rFonts w:ascii="Times New Roman" w:hAnsi="Times New Roman"/>
          <w:sz w:val="24"/>
        </w:rPr>
        <w:t>Ansprüchen vieler Betroffener</w:t>
      </w:r>
      <w:r>
        <w:rPr>
          <w:rFonts w:ascii="Times New Roman" w:hAnsi="Times New Roman"/>
          <w:sz w:val="24"/>
        </w:rPr>
        <w:t xml:space="preserve">. In der Realität lässt sich jedoch bereits erkennen, dass das CDR-Verfahren die Klärung von Streitigkeiten vor Gerichten in einer Reihe von Mitgliedsstaaten überrundet hat. </w:t>
      </w:r>
    </w:p>
    <w:p w14:paraId="27BD5147" w14:textId="449F4915" w:rsidR="00270EE9" w:rsidRPr="00022F12" w:rsidRDefault="00270EE9" w:rsidP="00921D92">
      <w:pPr>
        <w:spacing w:after="0" w:line="240" w:lineRule="auto"/>
        <w:ind w:firstLine="720"/>
        <w:jc w:val="both"/>
        <w:rPr>
          <w:rFonts w:ascii="Times New Roman" w:eastAsia="Calibri" w:hAnsi="Times New Roman" w:cs="Times New Roman"/>
          <w:sz w:val="24"/>
          <w:szCs w:val="24"/>
        </w:rPr>
      </w:pPr>
      <w:r>
        <w:rPr>
          <w:rFonts w:ascii="Times New Roman" w:hAnsi="Times New Roman"/>
          <w:sz w:val="24"/>
        </w:rPr>
        <w:t xml:space="preserve">Es </w:t>
      </w:r>
      <w:proofErr w:type="gramStart"/>
      <w:r>
        <w:rPr>
          <w:rFonts w:ascii="Times New Roman" w:hAnsi="Times New Roman"/>
          <w:sz w:val="24"/>
        </w:rPr>
        <w:t>ist</w:t>
      </w:r>
      <w:proofErr w:type="gramEnd"/>
      <w:r>
        <w:rPr>
          <w:rFonts w:ascii="Times New Roman" w:hAnsi="Times New Roman"/>
          <w:sz w:val="24"/>
        </w:rPr>
        <w:t xml:space="preserve"> </w:t>
      </w:r>
      <w:r w:rsidR="00BA1608">
        <w:rPr>
          <w:rFonts w:ascii="Times New Roman" w:hAnsi="Times New Roman"/>
          <w:sz w:val="24"/>
        </w:rPr>
        <w:t>weithin</w:t>
      </w:r>
      <w:r>
        <w:rPr>
          <w:rFonts w:ascii="Times New Roman" w:hAnsi="Times New Roman"/>
          <w:sz w:val="24"/>
        </w:rPr>
        <w:t xml:space="preserve"> bekannt, dass Mediation einen wesentlichen Einfluss auf </w:t>
      </w:r>
      <w:r w:rsidR="00BA1608">
        <w:rPr>
          <w:rFonts w:ascii="Times New Roman" w:hAnsi="Times New Roman"/>
          <w:sz w:val="24"/>
        </w:rPr>
        <w:t xml:space="preserve">die Erledigung </w:t>
      </w:r>
      <w:r>
        <w:rPr>
          <w:rFonts w:ascii="Times New Roman" w:hAnsi="Times New Roman"/>
          <w:sz w:val="24"/>
        </w:rPr>
        <w:t>von Ansprüchen hat</w:t>
      </w:r>
      <w:r w:rsidR="00BA1608">
        <w:rPr>
          <w:rFonts w:ascii="Times New Roman" w:hAnsi="Times New Roman"/>
          <w:sz w:val="24"/>
        </w:rPr>
        <w:t>te</w:t>
      </w:r>
      <w:r>
        <w:rPr>
          <w:rFonts w:ascii="Times New Roman" w:hAnsi="Times New Roman"/>
          <w:sz w:val="24"/>
        </w:rPr>
        <w:t>. In den Jahren 2013 und 2014 ermittelte die CEDR-Umfrage</w:t>
      </w:r>
      <w:r w:rsidR="00325762">
        <w:rPr>
          <w:rStyle w:val="Funotenzeichen"/>
          <w:rFonts w:ascii="Times New Roman" w:hAnsi="Times New Roman"/>
          <w:sz w:val="24"/>
        </w:rPr>
        <w:footnoteReference w:id="41"/>
      </w:r>
      <w:r>
        <w:rPr>
          <w:rFonts w:ascii="Times New Roman" w:hAnsi="Times New Roman"/>
          <w:sz w:val="24"/>
        </w:rPr>
        <w:t xml:space="preserve"> für den Mediationsmarkt in Großbritannien einen Anstieg von etwa 9 %, ausgehend von einer Schätzung von 9.500 </w:t>
      </w:r>
      <w:r w:rsidR="00BA1608">
        <w:rPr>
          <w:rFonts w:ascii="Times New Roman" w:hAnsi="Times New Roman"/>
          <w:sz w:val="24"/>
        </w:rPr>
        <w:t xml:space="preserve">geschäftlichen </w:t>
      </w:r>
      <w:r>
        <w:rPr>
          <w:rFonts w:ascii="Times New Roman" w:hAnsi="Times New Roman"/>
          <w:sz w:val="24"/>
        </w:rPr>
        <w:t>Mediationen (mit einem Volumen von 9 Mrd. Pfund).</w:t>
      </w:r>
      <w:r>
        <w:rPr>
          <w:rStyle w:val="Funotenzeichen"/>
          <w:rFonts w:ascii="Times New Roman" w:hAnsi="Times New Roman"/>
          <w:sz w:val="24"/>
        </w:rPr>
        <w:footnoteReference w:id="42"/>
      </w:r>
      <w:r>
        <w:rPr>
          <w:rFonts w:ascii="Times New Roman" w:hAnsi="Times New Roman"/>
          <w:sz w:val="24"/>
        </w:rPr>
        <w:t xml:space="preserve"> Über 75 % der Fälle wurden </w:t>
      </w:r>
      <w:proofErr w:type="gramStart"/>
      <w:r>
        <w:rPr>
          <w:rFonts w:ascii="Times New Roman" w:hAnsi="Times New Roman"/>
          <w:sz w:val="24"/>
        </w:rPr>
        <w:t>am</w:t>
      </w:r>
      <w:proofErr w:type="gramEnd"/>
      <w:r>
        <w:rPr>
          <w:rFonts w:ascii="Times New Roman" w:hAnsi="Times New Roman"/>
          <w:sz w:val="24"/>
        </w:rPr>
        <w:t xml:space="preserve"> Tag der Mediation beigelegt, weitere 11 % kurz danach (die Gesamterfolgsrate ist im Wesentlichen die gleiche wie in den Vorjahren). Der Anteil der direkt (</w:t>
      </w:r>
      <w:r w:rsidR="003601A2">
        <w:rPr>
          <w:rFonts w:ascii="Times New Roman" w:hAnsi="Times New Roman"/>
          <w:sz w:val="24"/>
        </w:rPr>
        <w:t xml:space="preserve">also </w:t>
      </w:r>
      <w:r>
        <w:rPr>
          <w:rFonts w:ascii="Times New Roman" w:hAnsi="Times New Roman"/>
          <w:sz w:val="24"/>
        </w:rPr>
        <w:t xml:space="preserve">nicht durch die ADR-Organisationen) </w:t>
      </w:r>
      <w:r w:rsidR="003601A2">
        <w:rPr>
          <w:rFonts w:ascii="Times New Roman" w:hAnsi="Times New Roman"/>
          <w:sz w:val="24"/>
        </w:rPr>
        <w:t xml:space="preserve">berufenen Mediatoren </w:t>
      </w:r>
      <w:r>
        <w:rPr>
          <w:rFonts w:ascii="Times New Roman" w:hAnsi="Times New Roman"/>
          <w:sz w:val="24"/>
        </w:rPr>
        <w:t>sank von 71</w:t>
      </w:r>
      <w:r w:rsidR="003601A2">
        <w:rPr>
          <w:rFonts w:ascii="Times New Roman" w:hAnsi="Times New Roman"/>
          <w:sz w:val="24"/>
        </w:rPr>
        <w:t>%</w:t>
      </w:r>
      <w:r>
        <w:rPr>
          <w:rFonts w:ascii="Times New Roman" w:hAnsi="Times New Roman"/>
          <w:sz w:val="24"/>
        </w:rPr>
        <w:t xml:space="preserve"> auf 66 %.</w:t>
      </w:r>
      <w:r w:rsidR="008803BC">
        <w:rPr>
          <w:rFonts w:ascii="Times New Roman" w:hAnsi="Times New Roman"/>
          <w:sz w:val="24"/>
        </w:rPr>
        <w:t xml:space="preserve"> </w:t>
      </w:r>
      <w:r>
        <w:rPr>
          <w:rFonts w:ascii="Times New Roman" w:hAnsi="Times New Roman"/>
          <w:sz w:val="24"/>
        </w:rPr>
        <w:t xml:space="preserve">Dies </w:t>
      </w:r>
      <w:r w:rsidR="003601A2">
        <w:rPr>
          <w:rFonts w:ascii="Times New Roman" w:hAnsi="Times New Roman"/>
          <w:sz w:val="24"/>
        </w:rPr>
        <w:t xml:space="preserve">war eine Umkehrung </w:t>
      </w:r>
      <w:r>
        <w:rPr>
          <w:rFonts w:ascii="Times New Roman" w:hAnsi="Times New Roman"/>
          <w:sz w:val="24"/>
        </w:rPr>
        <w:t>de</w:t>
      </w:r>
      <w:r w:rsidR="003601A2">
        <w:rPr>
          <w:rFonts w:ascii="Times New Roman" w:hAnsi="Times New Roman"/>
          <w:sz w:val="24"/>
        </w:rPr>
        <w:t>s</w:t>
      </w:r>
      <w:r>
        <w:rPr>
          <w:rFonts w:ascii="Times New Roman" w:hAnsi="Times New Roman"/>
          <w:sz w:val="24"/>
        </w:rPr>
        <w:t xml:space="preserve"> früheren Trend</w:t>
      </w:r>
      <w:r w:rsidR="003601A2">
        <w:rPr>
          <w:rFonts w:ascii="Times New Roman" w:hAnsi="Times New Roman"/>
          <w:sz w:val="24"/>
        </w:rPr>
        <w:t>s, was n</w:t>
      </w:r>
      <w:r>
        <w:rPr>
          <w:rFonts w:ascii="Times New Roman" w:hAnsi="Times New Roman"/>
          <w:sz w:val="24"/>
        </w:rPr>
        <w:t xml:space="preserve">ach </w:t>
      </w:r>
      <w:r w:rsidR="003601A2">
        <w:rPr>
          <w:rFonts w:ascii="Times New Roman" w:hAnsi="Times New Roman"/>
          <w:sz w:val="24"/>
        </w:rPr>
        <w:t>Einschätzung von</w:t>
      </w:r>
      <w:r>
        <w:rPr>
          <w:rFonts w:ascii="Times New Roman" w:hAnsi="Times New Roman"/>
          <w:sz w:val="24"/>
        </w:rPr>
        <w:t xml:space="preserve"> CEDR teilweise auf </w:t>
      </w:r>
      <w:r w:rsidR="003601A2">
        <w:rPr>
          <w:rFonts w:ascii="Times New Roman" w:hAnsi="Times New Roman"/>
          <w:sz w:val="24"/>
        </w:rPr>
        <w:t>ein</w:t>
      </w:r>
      <w:r>
        <w:rPr>
          <w:rFonts w:ascii="Times New Roman" w:hAnsi="Times New Roman"/>
          <w:sz w:val="24"/>
        </w:rPr>
        <w:t>en erfolgreicheren Zusammenschluss der Mediatoren zurückzuführen sein</w:t>
      </w:r>
      <w:r w:rsidR="003601A2">
        <w:rPr>
          <w:rFonts w:ascii="Times New Roman" w:hAnsi="Times New Roman"/>
          <w:sz w:val="24"/>
        </w:rPr>
        <w:t xml:space="preserve"> kann</w:t>
      </w:r>
      <w:r>
        <w:rPr>
          <w:rFonts w:ascii="Times New Roman" w:hAnsi="Times New Roman"/>
          <w:sz w:val="24"/>
        </w:rPr>
        <w:t xml:space="preserve">. Diese Daten beziehen sich auf Streitigkeiten im </w:t>
      </w:r>
      <w:r w:rsidR="003601A2">
        <w:rPr>
          <w:rFonts w:ascii="Times New Roman" w:hAnsi="Times New Roman"/>
          <w:sz w:val="24"/>
        </w:rPr>
        <w:t>geschäftlichen Bereich, doch f</w:t>
      </w:r>
      <w:r>
        <w:rPr>
          <w:rFonts w:ascii="Times New Roman" w:hAnsi="Times New Roman"/>
          <w:sz w:val="24"/>
        </w:rPr>
        <w:t>ast alle Ombudsmänner nutzen Mediation und Streitbeilegungsverfahren als ersten Schritt, und ihre Statistik zeigt, dass viele Meinungsverschiedenheiten durch Vergleich beigelegt wurden: Nach ihren Angaben sinkt die Zahl der Ansprüche mit dem weiteren Fortschritt der Prozedur pyramidenförmig.</w:t>
      </w:r>
    </w:p>
    <w:p w14:paraId="24E3D894" w14:textId="15BBE665" w:rsidR="00270EE9" w:rsidRPr="00B0388B" w:rsidRDefault="00270EE9"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Mediation ist ein</w:t>
      </w:r>
      <w:r w:rsidR="00300DE8">
        <w:rPr>
          <w:rFonts w:ascii="Times New Roman" w:hAnsi="Times New Roman"/>
          <w:sz w:val="24"/>
        </w:rPr>
        <w:t>e</w:t>
      </w:r>
      <w:r>
        <w:rPr>
          <w:rFonts w:ascii="Times New Roman" w:hAnsi="Times New Roman"/>
          <w:sz w:val="24"/>
        </w:rPr>
        <w:t xml:space="preserve"> </w:t>
      </w:r>
      <w:r w:rsidR="00300DE8">
        <w:rPr>
          <w:rFonts w:ascii="Times New Roman" w:hAnsi="Times New Roman"/>
          <w:sz w:val="24"/>
        </w:rPr>
        <w:t>Technik</w:t>
      </w:r>
      <w:r>
        <w:rPr>
          <w:rFonts w:ascii="Times New Roman" w:hAnsi="Times New Roman"/>
          <w:sz w:val="24"/>
        </w:rPr>
        <w:t>, d</w:t>
      </w:r>
      <w:r w:rsidR="00300DE8">
        <w:rPr>
          <w:rFonts w:ascii="Times New Roman" w:hAnsi="Times New Roman"/>
          <w:sz w:val="24"/>
        </w:rPr>
        <w:t>ie</w:t>
      </w:r>
      <w:r>
        <w:rPr>
          <w:rFonts w:ascii="Times New Roman" w:hAnsi="Times New Roman"/>
          <w:sz w:val="24"/>
        </w:rPr>
        <w:t xml:space="preserve"> </w:t>
      </w:r>
      <w:r w:rsidR="00580BDC">
        <w:rPr>
          <w:rFonts w:ascii="Times New Roman" w:hAnsi="Times New Roman"/>
          <w:sz w:val="24"/>
        </w:rPr>
        <w:t xml:space="preserve">sowohl </w:t>
      </w:r>
      <w:r>
        <w:rPr>
          <w:rFonts w:ascii="Times New Roman" w:hAnsi="Times New Roman"/>
          <w:sz w:val="24"/>
        </w:rPr>
        <w:t xml:space="preserve">vor </w:t>
      </w:r>
      <w:r w:rsidR="00300DE8">
        <w:rPr>
          <w:rFonts w:ascii="Times New Roman" w:hAnsi="Times New Roman"/>
          <w:sz w:val="24"/>
        </w:rPr>
        <w:t xml:space="preserve">einem Gerichtsverfahren </w:t>
      </w:r>
      <w:r>
        <w:rPr>
          <w:rFonts w:ascii="Times New Roman" w:hAnsi="Times New Roman"/>
          <w:sz w:val="24"/>
        </w:rPr>
        <w:t xml:space="preserve">eingesetzt werden kann, </w:t>
      </w:r>
      <w:r w:rsidR="00580BDC">
        <w:rPr>
          <w:rFonts w:ascii="Times New Roman" w:hAnsi="Times New Roman"/>
          <w:sz w:val="24"/>
        </w:rPr>
        <w:t xml:space="preserve">als auch </w:t>
      </w:r>
      <w:r>
        <w:rPr>
          <w:rFonts w:ascii="Times New Roman" w:hAnsi="Times New Roman"/>
          <w:sz w:val="24"/>
        </w:rPr>
        <w:t>parallel zum Gerichtsverfahren</w:t>
      </w:r>
      <w:r w:rsidR="00580BDC">
        <w:rPr>
          <w:rFonts w:ascii="Times New Roman" w:hAnsi="Times New Roman"/>
          <w:sz w:val="24"/>
        </w:rPr>
        <w:t>,</w:t>
      </w:r>
      <w:r>
        <w:rPr>
          <w:rFonts w:ascii="Times New Roman" w:hAnsi="Times New Roman"/>
          <w:sz w:val="24"/>
        </w:rPr>
        <w:t xml:space="preserve"> oder (wie beim CDR) </w:t>
      </w:r>
      <w:r w:rsidR="00300DE8">
        <w:rPr>
          <w:rFonts w:ascii="Times New Roman" w:hAnsi="Times New Roman"/>
          <w:sz w:val="24"/>
        </w:rPr>
        <w:t xml:space="preserve">auch praktisch ganz </w:t>
      </w:r>
      <w:r>
        <w:rPr>
          <w:rFonts w:ascii="Times New Roman" w:hAnsi="Times New Roman"/>
          <w:sz w:val="24"/>
        </w:rPr>
        <w:t>ohne ein Gerichtsverfahren in Anspruch zu nehmen. Mit anderen Worten, es handelt sich um ein</w:t>
      </w:r>
      <w:r w:rsidR="00300DE8">
        <w:rPr>
          <w:rFonts w:ascii="Times New Roman" w:hAnsi="Times New Roman"/>
          <w:sz w:val="24"/>
        </w:rPr>
        <w:t>e</w:t>
      </w:r>
      <w:r>
        <w:rPr>
          <w:rFonts w:ascii="Times New Roman" w:hAnsi="Times New Roman"/>
          <w:sz w:val="24"/>
        </w:rPr>
        <w:t xml:space="preserve"> allgemeine </w:t>
      </w:r>
      <w:r w:rsidR="00300DE8">
        <w:rPr>
          <w:rFonts w:ascii="Times New Roman" w:hAnsi="Times New Roman"/>
          <w:i/>
          <w:sz w:val="24"/>
        </w:rPr>
        <w:t>T</w:t>
      </w:r>
      <w:r>
        <w:rPr>
          <w:rFonts w:ascii="Times New Roman" w:hAnsi="Times New Roman"/>
          <w:i/>
          <w:sz w:val="24"/>
        </w:rPr>
        <w:t>e</w:t>
      </w:r>
      <w:r w:rsidR="00300DE8">
        <w:rPr>
          <w:rFonts w:ascii="Times New Roman" w:hAnsi="Times New Roman"/>
          <w:i/>
          <w:sz w:val="24"/>
        </w:rPr>
        <w:t>c</w:t>
      </w:r>
      <w:r>
        <w:rPr>
          <w:rFonts w:ascii="Times New Roman" w:hAnsi="Times New Roman"/>
          <w:i/>
          <w:sz w:val="24"/>
        </w:rPr>
        <w:t>hn</w:t>
      </w:r>
      <w:r w:rsidR="00300DE8">
        <w:rPr>
          <w:rFonts w:ascii="Times New Roman" w:hAnsi="Times New Roman"/>
          <w:i/>
          <w:sz w:val="24"/>
        </w:rPr>
        <w:t>ik</w:t>
      </w:r>
      <w:r>
        <w:rPr>
          <w:rFonts w:ascii="Times New Roman" w:hAnsi="Times New Roman"/>
          <w:sz w:val="24"/>
        </w:rPr>
        <w:t xml:space="preserve">, </w:t>
      </w:r>
      <w:r w:rsidR="00580BDC">
        <w:rPr>
          <w:rFonts w:ascii="Times New Roman" w:hAnsi="Times New Roman"/>
          <w:sz w:val="24"/>
        </w:rPr>
        <w:t xml:space="preserve">während </w:t>
      </w:r>
      <w:r>
        <w:rPr>
          <w:rFonts w:ascii="Times New Roman" w:hAnsi="Times New Roman"/>
          <w:sz w:val="24"/>
        </w:rPr>
        <w:t>die</w:t>
      </w:r>
      <w:r w:rsidR="008803BC">
        <w:rPr>
          <w:rFonts w:ascii="Times New Roman" w:hAnsi="Times New Roman"/>
          <w:sz w:val="24"/>
        </w:rPr>
        <w:t xml:space="preserve"> </w:t>
      </w:r>
      <w:r w:rsidR="00580BDC">
        <w:rPr>
          <w:rFonts w:ascii="Times New Roman" w:hAnsi="Times New Roman"/>
          <w:i/>
          <w:sz w:val="24"/>
        </w:rPr>
        <w:t>Archite</w:t>
      </w:r>
      <w:r>
        <w:rPr>
          <w:rFonts w:ascii="Times New Roman" w:hAnsi="Times New Roman"/>
          <w:i/>
          <w:sz w:val="24"/>
        </w:rPr>
        <w:t>ktur,</w:t>
      </w:r>
      <w:r>
        <w:rPr>
          <w:rFonts w:ascii="Times New Roman" w:hAnsi="Times New Roman"/>
          <w:sz w:val="24"/>
        </w:rPr>
        <w:t xml:space="preserve"> in der </w:t>
      </w:r>
      <w:r w:rsidR="00580BDC">
        <w:rPr>
          <w:rFonts w:ascii="Times New Roman" w:hAnsi="Times New Roman"/>
          <w:sz w:val="24"/>
        </w:rPr>
        <w:t xml:space="preserve">sie </w:t>
      </w:r>
      <w:r>
        <w:rPr>
          <w:rFonts w:ascii="Times New Roman" w:hAnsi="Times New Roman"/>
          <w:sz w:val="24"/>
        </w:rPr>
        <w:t xml:space="preserve">genutzt wird, unterschiedlich sein kann. Für </w:t>
      </w:r>
      <w:r w:rsidR="00580BDC">
        <w:rPr>
          <w:rFonts w:ascii="Times New Roman" w:hAnsi="Times New Roman"/>
          <w:sz w:val="24"/>
        </w:rPr>
        <w:t xml:space="preserve">Streitigkeiten </w:t>
      </w:r>
      <w:r>
        <w:rPr>
          <w:rFonts w:ascii="Times New Roman" w:hAnsi="Times New Roman"/>
          <w:sz w:val="24"/>
        </w:rPr>
        <w:t xml:space="preserve">zwischen Verbrauchern und </w:t>
      </w:r>
      <w:r w:rsidR="00580BDC">
        <w:rPr>
          <w:rFonts w:ascii="Times New Roman" w:hAnsi="Times New Roman"/>
          <w:sz w:val="24"/>
        </w:rPr>
        <w:t xml:space="preserve">Unternehmen stehen </w:t>
      </w:r>
      <w:proofErr w:type="gramStart"/>
      <w:r w:rsidR="00580BDC">
        <w:rPr>
          <w:rFonts w:ascii="Times New Roman" w:hAnsi="Times New Roman"/>
          <w:sz w:val="24"/>
        </w:rPr>
        <w:t>als</w:t>
      </w:r>
      <w:proofErr w:type="gramEnd"/>
      <w:r>
        <w:rPr>
          <w:rFonts w:ascii="Times New Roman" w:hAnsi="Times New Roman"/>
          <w:sz w:val="24"/>
        </w:rPr>
        <w:t xml:space="preserve"> Struktur</w:t>
      </w:r>
      <w:r w:rsidR="00580BDC">
        <w:rPr>
          <w:rFonts w:ascii="Times New Roman" w:hAnsi="Times New Roman"/>
          <w:sz w:val="24"/>
        </w:rPr>
        <w:t>en</w:t>
      </w:r>
      <w:r>
        <w:rPr>
          <w:rFonts w:ascii="Times New Roman" w:hAnsi="Times New Roman"/>
          <w:sz w:val="24"/>
        </w:rPr>
        <w:t xml:space="preserve"> entweder </w:t>
      </w:r>
      <w:r w:rsidR="00580BDC">
        <w:rPr>
          <w:rFonts w:ascii="Times New Roman" w:hAnsi="Times New Roman"/>
          <w:sz w:val="24"/>
        </w:rPr>
        <w:t xml:space="preserve">die </w:t>
      </w:r>
      <w:r>
        <w:rPr>
          <w:rFonts w:ascii="Times New Roman" w:hAnsi="Times New Roman"/>
          <w:sz w:val="24"/>
        </w:rPr>
        <w:t>Gericht</w:t>
      </w:r>
      <w:r w:rsidR="00580BDC">
        <w:rPr>
          <w:rFonts w:ascii="Times New Roman" w:hAnsi="Times New Roman"/>
          <w:sz w:val="24"/>
        </w:rPr>
        <w:t>e</w:t>
      </w:r>
      <w:r>
        <w:rPr>
          <w:rFonts w:ascii="Times New Roman" w:hAnsi="Times New Roman"/>
          <w:sz w:val="24"/>
        </w:rPr>
        <w:t xml:space="preserve"> oder die ADR-Institution</w:t>
      </w:r>
      <w:r w:rsidR="00580BDC">
        <w:rPr>
          <w:rFonts w:ascii="Times New Roman" w:hAnsi="Times New Roman"/>
          <w:sz w:val="24"/>
        </w:rPr>
        <w:t>en zur Verfügung</w:t>
      </w:r>
      <w:r>
        <w:rPr>
          <w:rFonts w:ascii="Times New Roman" w:hAnsi="Times New Roman"/>
          <w:sz w:val="24"/>
        </w:rPr>
        <w:t xml:space="preserve">; dies sind alternative Wege, die unabhängig voneinander sind. Für Ansprüche, die vor Gericht geltend gemacht werden, kann die Mediation eine Streitbeilegung vor </w:t>
      </w:r>
      <w:proofErr w:type="gramStart"/>
      <w:r>
        <w:rPr>
          <w:rFonts w:ascii="Times New Roman" w:hAnsi="Times New Roman"/>
          <w:sz w:val="24"/>
        </w:rPr>
        <w:t>oder</w:t>
      </w:r>
      <w:proofErr w:type="gramEnd"/>
      <w:r>
        <w:rPr>
          <w:rFonts w:ascii="Times New Roman" w:hAnsi="Times New Roman"/>
          <w:sz w:val="24"/>
        </w:rPr>
        <w:t xml:space="preserve"> während des vorgesehenen Klageverfahrens unterstützen. CDR-Verfahren dagegen </w:t>
      </w:r>
      <w:r w:rsidR="00580BDC">
        <w:rPr>
          <w:rFonts w:ascii="Times New Roman" w:hAnsi="Times New Roman"/>
          <w:sz w:val="24"/>
        </w:rPr>
        <w:t xml:space="preserve">finden in ihrer eigenen Architektur statt, </w:t>
      </w:r>
      <w:r>
        <w:rPr>
          <w:rFonts w:ascii="Times New Roman" w:hAnsi="Times New Roman"/>
          <w:sz w:val="24"/>
        </w:rPr>
        <w:t>unabhängig davon, ob es sich um ein Schiedsgerichts</w:t>
      </w:r>
      <w:r w:rsidR="00580BDC">
        <w:rPr>
          <w:rFonts w:ascii="Times New Roman" w:hAnsi="Times New Roman"/>
          <w:sz w:val="24"/>
        </w:rPr>
        <w:t>-</w:t>
      </w:r>
      <w:r>
        <w:rPr>
          <w:rFonts w:ascii="Times New Roman" w:hAnsi="Times New Roman"/>
          <w:sz w:val="24"/>
        </w:rPr>
        <w:t xml:space="preserve"> </w:t>
      </w:r>
      <w:proofErr w:type="gramStart"/>
      <w:r>
        <w:rPr>
          <w:rFonts w:ascii="Times New Roman" w:hAnsi="Times New Roman"/>
          <w:sz w:val="24"/>
        </w:rPr>
        <w:t>oder</w:t>
      </w:r>
      <w:proofErr w:type="gramEnd"/>
      <w:r>
        <w:rPr>
          <w:rFonts w:ascii="Times New Roman" w:hAnsi="Times New Roman"/>
          <w:sz w:val="24"/>
        </w:rPr>
        <w:t xml:space="preserve"> ein Ombuds-Verfahren handelt, eine eigene Struktur, und die Mediation kann als </w:t>
      </w:r>
      <w:r w:rsidR="00580BDC">
        <w:rPr>
          <w:rFonts w:ascii="Times New Roman" w:hAnsi="Times New Roman"/>
          <w:sz w:val="24"/>
        </w:rPr>
        <w:t xml:space="preserve">eine automatische </w:t>
      </w:r>
      <w:r>
        <w:rPr>
          <w:rFonts w:ascii="Times New Roman" w:hAnsi="Times New Roman"/>
          <w:sz w:val="24"/>
        </w:rPr>
        <w:t>erste Phase genutzt werden.</w:t>
      </w:r>
    </w:p>
    <w:p w14:paraId="53F859B1" w14:textId="2C92FD32" w:rsidR="00270EE9" w:rsidRDefault="00270EE9"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In den nordischen Staaten und Großbritannien werden fast alle Verbraucheransprüche über CDR-Institutionen vorgebracht</w:t>
      </w:r>
      <w:r w:rsidR="00580BDC">
        <w:rPr>
          <w:rFonts w:ascii="Times New Roman" w:hAnsi="Times New Roman"/>
          <w:sz w:val="24"/>
        </w:rPr>
        <w:t>;</w:t>
      </w:r>
      <w:r>
        <w:rPr>
          <w:rFonts w:ascii="Times New Roman" w:hAnsi="Times New Roman"/>
          <w:sz w:val="24"/>
        </w:rPr>
        <w:t xml:space="preserve"> Gerichtsverfahren wegen Bagatellansprüchen </w:t>
      </w:r>
      <w:proofErr w:type="gramStart"/>
      <w:r>
        <w:rPr>
          <w:rFonts w:ascii="Times New Roman" w:hAnsi="Times New Roman"/>
          <w:sz w:val="24"/>
        </w:rPr>
        <w:t>sind</w:t>
      </w:r>
      <w:proofErr w:type="gramEnd"/>
      <w:r>
        <w:rPr>
          <w:rFonts w:ascii="Times New Roman" w:hAnsi="Times New Roman"/>
          <w:sz w:val="24"/>
        </w:rPr>
        <w:t xml:space="preserve"> </w:t>
      </w:r>
      <w:r>
        <w:rPr>
          <w:rFonts w:ascii="Times New Roman" w:hAnsi="Times New Roman"/>
          <w:sz w:val="24"/>
        </w:rPr>
        <w:lastRenderedPageBreak/>
        <w:t xml:space="preserve">entweder </w:t>
      </w:r>
      <w:r w:rsidR="00580BDC">
        <w:rPr>
          <w:rFonts w:ascii="Times New Roman" w:hAnsi="Times New Roman"/>
          <w:sz w:val="24"/>
        </w:rPr>
        <w:t xml:space="preserve">wirklich nicht mehr </w:t>
      </w:r>
      <w:r>
        <w:rPr>
          <w:rFonts w:ascii="Times New Roman" w:hAnsi="Times New Roman"/>
          <w:sz w:val="24"/>
        </w:rPr>
        <w:t xml:space="preserve">vorhanden oder </w:t>
      </w:r>
      <w:r w:rsidR="00580BDC">
        <w:rPr>
          <w:rFonts w:ascii="Times New Roman" w:hAnsi="Times New Roman"/>
          <w:sz w:val="24"/>
        </w:rPr>
        <w:t>auf dem Weg in die Vergessenheit</w:t>
      </w:r>
      <w:r>
        <w:rPr>
          <w:rFonts w:ascii="Times New Roman" w:hAnsi="Times New Roman"/>
          <w:sz w:val="24"/>
        </w:rPr>
        <w:t xml:space="preserve">. Die Überarbeitungsvorschläge 2014 für </w:t>
      </w:r>
      <w:r w:rsidR="00580BDC">
        <w:rPr>
          <w:rFonts w:ascii="Times New Roman" w:hAnsi="Times New Roman"/>
          <w:sz w:val="24"/>
        </w:rPr>
        <w:t xml:space="preserve">das </w:t>
      </w:r>
      <w:r>
        <w:rPr>
          <w:rFonts w:ascii="Times New Roman" w:hAnsi="Times New Roman"/>
          <w:sz w:val="24"/>
        </w:rPr>
        <w:t>grenzüberschreitende europäische Bagatellverfahren</w:t>
      </w:r>
      <w:r>
        <w:rPr>
          <w:rStyle w:val="Funotenzeichen"/>
          <w:rFonts w:ascii="Times New Roman" w:hAnsi="Times New Roman"/>
          <w:sz w:val="24"/>
        </w:rPr>
        <w:footnoteReference w:id="43"/>
      </w:r>
      <w:r>
        <w:rPr>
          <w:rFonts w:ascii="Times New Roman" w:hAnsi="Times New Roman"/>
          <w:sz w:val="24"/>
        </w:rPr>
        <w:t xml:space="preserve"> </w:t>
      </w:r>
      <w:r w:rsidR="00580BDC">
        <w:rPr>
          <w:rFonts w:ascii="Times New Roman" w:hAnsi="Times New Roman"/>
          <w:sz w:val="24"/>
        </w:rPr>
        <w:t xml:space="preserve">das </w:t>
      </w:r>
      <w:r>
        <w:rPr>
          <w:rFonts w:ascii="Times New Roman" w:hAnsi="Times New Roman"/>
          <w:sz w:val="24"/>
        </w:rPr>
        <w:t xml:space="preserve">nur eine geringe Anzahl von Nutzern </w:t>
      </w:r>
      <w:r w:rsidR="00580BDC">
        <w:rPr>
          <w:rFonts w:ascii="Times New Roman" w:hAnsi="Times New Roman"/>
          <w:sz w:val="24"/>
        </w:rPr>
        <w:t xml:space="preserve">gefunden hatte, </w:t>
      </w:r>
      <w:r>
        <w:rPr>
          <w:rFonts w:ascii="Times New Roman" w:hAnsi="Times New Roman"/>
          <w:sz w:val="24"/>
        </w:rPr>
        <w:t xml:space="preserve">erwähnen </w:t>
      </w:r>
      <w:r w:rsidR="00593BF9">
        <w:rPr>
          <w:rFonts w:ascii="Times New Roman" w:hAnsi="Times New Roman"/>
          <w:sz w:val="24"/>
        </w:rPr>
        <w:t xml:space="preserve">seine Nutzung für </w:t>
      </w:r>
      <w:r>
        <w:rPr>
          <w:rFonts w:ascii="Times New Roman" w:hAnsi="Times New Roman"/>
          <w:sz w:val="24"/>
        </w:rPr>
        <w:t xml:space="preserve">Verbraucheransprüchen </w:t>
      </w:r>
      <w:r w:rsidR="00593BF9">
        <w:rPr>
          <w:rFonts w:ascii="Times New Roman" w:hAnsi="Times New Roman"/>
          <w:sz w:val="24"/>
        </w:rPr>
        <w:t>nicht einmal</w:t>
      </w:r>
      <w:r>
        <w:rPr>
          <w:rFonts w:ascii="Times New Roman" w:hAnsi="Times New Roman"/>
          <w:sz w:val="24"/>
        </w:rPr>
        <w:t xml:space="preserve">, sondern fokussieren sich </w:t>
      </w:r>
      <w:r w:rsidR="00593BF9">
        <w:rPr>
          <w:rFonts w:ascii="Times New Roman" w:hAnsi="Times New Roman"/>
          <w:sz w:val="24"/>
        </w:rPr>
        <w:t xml:space="preserve">stattdessen </w:t>
      </w:r>
      <w:r>
        <w:rPr>
          <w:rFonts w:ascii="Times New Roman" w:hAnsi="Times New Roman"/>
          <w:sz w:val="24"/>
        </w:rPr>
        <w:t xml:space="preserve">auf die Unterstützung von KMUs, um </w:t>
      </w:r>
      <w:r w:rsidR="00593BF9">
        <w:rPr>
          <w:rFonts w:ascii="Times New Roman" w:hAnsi="Times New Roman"/>
          <w:sz w:val="24"/>
        </w:rPr>
        <w:t xml:space="preserve">in einer </w:t>
      </w:r>
      <w:r>
        <w:rPr>
          <w:rFonts w:ascii="Times New Roman" w:hAnsi="Times New Roman"/>
          <w:sz w:val="24"/>
        </w:rPr>
        <w:t>düsteren Wirtschafts</w:t>
      </w:r>
      <w:r w:rsidR="00593BF9">
        <w:rPr>
          <w:rFonts w:ascii="Times New Roman" w:hAnsi="Times New Roman"/>
          <w:sz w:val="24"/>
        </w:rPr>
        <w:t xml:space="preserve">lage Wachstum </w:t>
      </w:r>
      <w:r>
        <w:rPr>
          <w:rFonts w:ascii="Times New Roman" w:hAnsi="Times New Roman"/>
          <w:sz w:val="24"/>
        </w:rPr>
        <w:t>zu fördern.</w:t>
      </w:r>
      <w:r>
        <w:rPr>
          <w:rStyle w:val="Funotenzeichen"/>
          <w:rFonts w:ascii="Times New Roman" w:hAnsi="Times New Roman"/>
          <w:sz w:val="24"/>
        </w:rPr>
        <w:footnoteReference w:id="44"/>
      </w:r>
    </w:p>
    <w:p w14:paraId="7995B06B" w14:textId="088B9092" w:rsidR="002A301F" w:rsidRDefault="002A301F"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Die Statistiken der Gerichte für England und Wales (Tabelle 2) zeigen, dass die Anzahl der Gerichtsverfahren in den letzten Jahren</w:t>
      </w:r>
      <w:r w:rsidR="008803BC">
        <w:rPr>
          <w:rFonts w:ascii="Times New Roman" w:hAnsi="Times New Roman"/>
          <w:sz w:val="24"/>
        </w:rPr>
        <w:t xml:space="preserve"> </w:t>
      </w:r>
      <w:r>
        <w:rPr>
          <w:rFonts w:ascii="Times New Roman" w:hAnsi="Times New Roman"/>
          <w:i/>
          <w:sz w:val="24"/>
        </w:rPr>
        <w:t>gesunken</w:t>
      </w:r>
      <w:r w:rsidR="008803BC">
        <w:rPr>
          <w:rFonts w:ascii="Times New Roman" w:hAnsi="Times New Roman"/>
          <w:i/>
          <w:sz w:val="24"/>
        </w:rPr>
        <w:t xml:space="preserve"> </w:t>
      </w:r>
      <w:r>
        <w:rPr>
          <w:rFonts w:ascii="Times New Roman" w:hAnsi="Times New Roman"/>
          <w:sz w:val="24"/>
        </w:rPr>
        <w:t xml:space="preserve">ist, und zwar in jeder Hinsicht: gesunken sind die Zahl der Zivilverfahren insgesamt, aber auch </w:t>
      </w:r>
      <w:r w:rsidR="00593BF9">
        <w:rPr>
          <w:rFonts w:ascii="Times New Roman" w:hAnsi="Times New Roman"/>
          <w:sz w:val="24"/>
        </w:rPr>
        <w:t xml:space="preserve">jeweils </w:t>
      </w:r>
      <w:r>
        <w:rPr>
          <w:rFonts w:ascii="Times New Roman" w:hAnsi="Times New Roman"/>
          <w:sz w:val="24"/>
        </w:rPr>
        <w:t xml:space="preserve">die </w:t>
      </w:r>
      <w:r w:rsidR="00593BF9">
        <w:rPr>
          <w:rFonts w:ascii="Times New Roman" w:hAnsi="Times New Roman"/>
          <w:sz w:val="24"/>
        </w:rPr>
        <w:t xml:space="preserve">der </w:t>
      </w:r>
      <w:r>
        <w:rPr>
          <w:rFonts w:ascii="Times New Roman" w:hAnsi="Times New Roman"/>
          <w:sz w:val="24"/>
        </w:rPr>
        <w:t xml:space="preserve">drei Sparten Mehrfachansprüche, Eilverfahren und Bagatellverfahren (letztere sind für Ansprüche zwischen Verbrauchern und </w:t>
      </w:r>
      <w:r w:rsidR="00593BF9">
        <w:rPr>
          <w:rFonts w:ascii="Times New Roman" w:hAnsi="Times New Roman"/>
          <w:sz w:val="24"/>
        </w:rPr>
        <w:t xml:space="preserve">Unternehmern </w:t>
      </w:r>
      <w:r>
        <w:rPr>
          <w:rFonts w:ascii="Times New Roman" w:hAnsi="Times New Roman"/>
          <w:sz w:val="24"/>
        </w:rPr>
        <w:t>am relevantesten). Die Anzahl der Ansprüche, die durch Ombuds</w:t>
      </w:r>
      <w:r w:rsidR="00593BF9">
        <w:rPr>
          <w:rFonts w:ascii="Times New Roman" w:hAnsi="Times New Roman"/>
          <w:sz w:val="24"/>
        </w:rPr>
        <w:t>stellen</w:t>
      </w:r>
      <w:r>
        <w:rPr>
          <w:rFonts w:ascii="Times New Roman" w:hAnsi="Times New Roman"/>
          <w:sz w:val="24"/>
        </w:rPr>
        <w:t xml:space="preserve"> geregelt wurden, </w:t>
      </w:r>
      <w:proofErr w:type="gramStart"/>
      <w:r>
        <w:rPr>
          <w:rFonts w:ascii="Times New Roman" w:hAnsi="Times New Roman"/>
          <w:sz w:val="24"/>
        </w:rPr>
        <w:t>ist</w:t>
      </w:r>
      <w:proofErr w:type="gramEnd"/>
      <w:r>
        <w:rPr>
          <w:rFonts w:ascii="Times New Roman" w:hAnsi="Times New Roman"/>
          <w:sz w:val="24"/>
        </w:rPr>
        <w:t xml:space="preserve"> dagegen</w:t>
      </w:r>
      <w:r w:rsidR="00593BF9">
        <w:rPr>
          <w:rFonts w:ascii="Times New Roman" w:hAnsi="Times New Roman"/>
          <w:sz w:val="24"/>
        </w:rPr>
        <w:t xml:space="preserve"> durchweg</w:t>
      </w:r>
      <w:r>
        <w:rPr>
          <w:rFonts w:ascii="Times New Roman" w:hAnsi="Times New Roman"/>
          <w:sz w:val="24"/>
        </w:rPr>
        <w:t xml:space="preserve"> </w:t>
      </w:r>
      <w:r>
        <w:rPr>
          <w:rFonts w:ascii="Times New Roman" w:hAnsi="Times New Roman"/>
          <w:i/>
          <w:sz w:val="24"/>
        </w:rPr>
        <w:t>gestiegen</w:t>
      </w:r>
      <w:r>
        <w:rPr>
          <w:rFonts w:ascii="Times New Roman" w:hAnsi="Times New Roman"/>
          <w:sz w:val="24"/>
        </w:rPr>
        <w:t>. Die Gesamtzahl liegt jetzt</w:t>
      </w:r>
      <w:r w:rsidR="008803BC">
        <w:rPr>
          <w:rFonts w:ascii="Times New Roman" w:hAnsi="Times New Roman"/>
          <w:sz w:val="24"/>
        </w:rPr>
        <w:t xml:space="preserve"> </w:t>
      </w:r>
      <w:r w:rsidR="00593BF9">
        <w:rPr>
          <w:rFonts w:ascii="Times New Roman" w:hAnsi="Times New Roman"/>
          <w:i/>
          <w:sz w:val="24"/>
        </w:rPr>
        <w:t xml:space="preserve">kurz davor, </w:t>
      </w:r>
      <w:r w:rsidR="00593BF9" w:rsidRPr="006813EC">
        <w:rPr>
          <w:rFonts w:ascii="Times New Roman" w:hAnsi="Times New Roman"/>
          <w:sz w:val="24"/>
        </w:rPr>
        <w:t xml:space="preserve">die </w:t>
      </w:r>
      <w:r>
        <w:rPr>
          <w:rFonts w:ascii="Times New Roman" w:hAnsi="Times New Roman"/>
          <w:sz w:val="24"/>
        </w:rPr>
        <w:t>Zahl der Gerichtsverfahren</w:t>
      </w:r>
      <w:r w:rsidR="00593BF9">
        <w:rPr>
          <w:rFonts w:ascii="Times New Roman" w:hAnsi="Times New Roman"/>
          <w:sz w:val="24"/>
        </w:rPr>
        <w:t xml:space="preserve"> in den Schatten zu stellen</w:t>
      </w:r>
      <w:r>
        <w:rPr>
          <w:rFonts w:ascii="Times New Roman" w:hAnsi="Times New Roman"/>
          <w:sz w:val="24"/>
        </w:rPr>
        <w:t xml:space="preserve">. Seit dem Jahr 2000 </w:t>
      </w:r>
      <w:proofErr w:type="gramStart"/>
      <w:r>
        <w:rPr>
          <w:rFonts w:ascii="Times New Roman" w:hAnsi="Times New Roman"/>
          <w:sz w:val="24"/>
        </w:rPr>
        <w:t>sind</w:t>
      </w:r>
      <w:proofErr w:type="gramEnd"/>
      <w:r>
        <w:rPr>
          <w:rFonts w:ascii="Times New Roman" w:hAnsi="Times New Roman"/>
          <w:sz w:val="24"/>
        </w:rPr>
        <w:t xml:space="preserve"> Zivilverfahren vor den Bezirksgerichten pro Jahr etwas gesunken, bevor sie im Jahr 2006 eine</w:t>
      </w:r>
      <w:r w:rsidR="00593BF9">
        <w:rPr>
          <w:rFonts w:ascii="Times New Roman" w:hAnsi="Times New Roman"/>
          <w:sz w:val="24"/>
        </w:rPr>
        <w:t>n</w:t>
      </w:r>
      <w:r>
        <w:rPr>
          <w:rFonts w:ascii="Times New Roman" w:hAnsi="Times New Roman"/>
          <w:sz w:val="24"/>
        </w:rPr>
        <w:t xml:space="preserve"> </w:t>
      </w:r>
      <w:r w:rsidR="00593BF9">
        <w:rPr>
          <w:rFonts w:ascii="Times New Roman" w:hAnsi="Times New Roman"/>
          <w:sz w:val="24"/>
        </w:rPr>
        <w:t xml:space="preserve">Spitzenwert </w:t>
      </w:r>
      <w:r>
        <w:rPr>
          <w:rFonts w:ascii="Times New Roman" w:hAnsi="Times New Roman"/>
          <w:sz w:val="24"/>
        </w:rPr>
        <w:t>vo</w:t>
      </w:r>
      <w:r w:rsidR="00593BF9">
        <w:rPr>
          <w:rFonts w:ascii="Times New Roman" w:hAnsi="Times New Roman"/>
          <w:sz w:val="24"/>
        </w:rPr>
        <w:t>n</w:t>
      </w:r>
      <w:r>
        <w:rPr>
          <w:rFonts w:ascii="Times New Roman" w:hAnsi="Times New Roman"/>
          <w:sz w:val="24"/>
        </w:rPr>
        <w:t xml:space="preserve"> 2 Millionen erreichten und dan</w:t>
      </w:r>
      <w:r w:rsidR="00593BF9">
        <w:rPr>
          <w:rFonts w:ascii="Times New Roman" w:hAnsi="Times New Roman"/>
          <w:sz w:val="24"/>
        </w:rPr>
        <w:t>n</w:t>
      </w:r>
      <w:r>
        <w:rPr>
          <w:rFonts w:ascii="Times New Roman" w:hAnsi="Times New Roman"/>
          <w:sz w:val="24"/>
        </w:rPr>
        <w:t xml:space="preserve"> auf 1,4 Millionen zurückfielen. Diese Zahlen enthalten ein</w:t>
      </w:r>
      <w:r w:rsidR="00593BF9">
        <w:rPr>
          <w:rFonts w:ascii="Times New Roman" w:hAnsi="Times New Roman"/>
          <w:sz w:val="24"/>
        </w:rPr>
        <w:t xml:space="preserve"> breites Spektrum</w:t>
      </w:r>
      <w:r>
        <w:rPr>
          <w:rFonts w:ascii="Times New Roman" w:hAnsi="Times New Roman"/>
          <w:sz w:val="24"/>
        </w:rPr>
        <w:t xml:space="preserve"> von Ansprüchen, viele davon </w:t>
      </w:r>
      <w:proofErr w:type="gramStart"/>
      <w:r>
        <w:rPr>
          <w:rFonts w:ascii="Times New Roman" w:hAnsi="Times New Roman"/>
          <w:sz w:val="24"/>
        </w:rPr>
        <w:t>sind</w:t>
      </w:r>
      <w:proofErr w:type="gramEnd"/>
      <w:r>
        <w:rPr>
          <w:rFonts w:ascii="Times New Roman" w:hAnsi="Times New Roman"/>
          <w:sz w:val="24"/>
        </w:rPr>
        <w:t xml:space="preserve"> Klagen </w:t>
      </w:r>
      <w:r w:rsidR="00593BF9">
        <w:rPr>
          <w:rFonts w:ascii="Times New Roman" w:hAnsi="Times New Roman"/>
          <w:sz w:val="24"/>
        </w:rPr>
        <w:t>w</w:t>
      </w:r>
      <w:r>
        <w:rPr>
          <w:rFonts w:ascii="Times New Roman" w:hAnsi="Times New Roman"/>
          <w:sz w:val="24"/>
        </w:rPr>
        <w:t xml:space="preserve">egen </w:t>
      </w:r>
      <w:r w:rsidR="00593BF9">
        <w:rPr>
          <w:rFonts w:ascii="Times New Roman" w:hAnsi="Times New Roman"/>
          <w:sz w:val="24"/>
        </w:rPr>
        <w:t>Gelds</w:t>
      </w:r>
      <w:r>
        <w:rPr>
          <w:rFonts w:ascii="Times New Roman" w:hAnsi="Times New Roman"/>
          <w:sz w:val="24"/>
        </w:rPr>
        <w:t>chulde</w:t>
      </w:r>
      <w:r w:rsidR="00593BF9">
        <w:rPr>
          <w:rFonts w:ascii="Times New Roman" w:hAnsi="Times New Roman"/>
          <w:sz w:val="24"/>
        </w:rPr>
        <w:t>n</w:t>
      </w:r>
      <w:r>
        <w:rPr>
          <w:rFonts w:ascii="Times New Roman" w:hAnsi="Times New Roman"/>
          <w:sz w:val="24"/>
        </w:rPr>
        <w:t>. Die Zahlen für Bagatell</w:t>
      </w:r>
      <w:r w:rsidR="00593BF9">
        <w:rPr>
          <w:rFonts w:ascii="Times New Roman" w:hAnsi="Times New Roman"/>
          <w:sz w:val="24"/>
        </w:rPr>
        <w:t>klag</w:t>
      </w:r>
      <w:r>
        <w:rPr>
          <w:rFonts w:ascii="Times New Roman" w:hAnsi="Times New Roman"/>
          <w:sz w:val="24"/>
        </w:rPr>
        <w:t xml:space="preserve">en (unter 5.000 Pfund) </w:t>
      </w:r>
      <w:r w:rsidR="00593BF9">
        <w:rPr>
          <w:rFonts w:ascii="Times New Roman" w:hAnsi="Times New Roman"/>
          <w:sz w:val="24"/>
        </w:rPr>
        <w:t xml:space="preserve">dürften </w:t>
      </w:r>
      <w:r>
        <w:rPr>
          <w:rFonts w:ascii="Times New Roman" w:hAnsi="Times New Roman"/>
          <w:sz w:val="24"/>
        </w:rPr>
        <w:t xml:space="preserve">zwischen Verbrauchern und </w:t>
      </w:r>
      <w:r w:rsidR="00593BF9">
        <w:rPr>
          <w:rFonts w:ascii="Times New Roman" w:hAnsi="Times New Roman"/>
          <w:sz w:val="24"/>
        </w:rPr>
        <w:t>Unternehmen besonders einschlägig sein</w:t>
      </w:r>
      <w:r>
        <w:rPr>
          <w:rFonts w:ascii="Times New Roman" w:hAnsi="Times New Roman"/>
          <w:sz w:val="24"/>
        </w:rPr>
        <w:t xml:space="preserve">. Auch diese Zahl </w:t>
      </w:r>
      <w:proofErr w:type="gramStart"/>
      <w:r>
        <w:rPr>
          <w:rFonts w:ascii="Times New Roman" w:hAnsi="Times New Roman"/>
          <w:sz w:val="24"/>
        </w:rPr>
        <w:t>ist</w:t>
      </w:r>
      <w:proofErr w:type="gramEnd"/>
      <w:r>
        <w:rPr>
          <w:rFonts w:ascii="Times New Roman" w:hAnsi="Times New Roman"/>
          <w:sz w:val="24"/>
        </w:rPr>
        <w:t xml:space="preserve"> gesunken. 2014 gab es 60</w:t>
      </w:r>
      <w:proofErr w:type="gramStart"/>
      <w:r>
        <w:rPr>
          <w:rFonts w:ascii="Times New Roman" w:hAnsi="Times New Roman"/>
          <w:sz w:val="24"/>
        </w:rPr>
        <w:t>.000 </w:t>
      </w:r>
      <w:r w:rsidR="00593BF9">
        <w:rPr>
          <w:rFonts w:ascii="Times New Roman" w:hAnsi="Times New Roman"/>
          <w:sz w:val="24"/>
        </w:rPr>
        <w:t>dieser</w:t>
      </w:r>
      <w:proofErr w:type="gramEnd"/>
      <w:r w:rsidR="00593BF9">
        <w:rPr>
          <w:rFonts w:ascii="Times New Roman" w:hAnsi="Times New Roman"/>
          <w:sz w:val="24"/>
        </w:rPr>
        <w:t xml:space="preserve"> Bagatellk</w:t>
      </w:r>
      <w:r>
        <w:rPr>
          <w:rFonts w:ascii="Times New Roman" w:hAnsi="Times New Roman"/>
          <w:sz w:val="24"/>
        </w:rPr>
        <w:t>lagen und 22.000 </w:t>
      </w:r>
      <w:r w:rsidR="00593BF9">
        <w:rPr>
          <w:rFonts w:ascii="Times New Roman" w:hAnsi="Times New Roman"/>
          <w:sz w:val="24"/>
        </w:rPr>
        <w:t>mündliche Verhandlungen</w:t>
      </w:r>
      <w:r>
        <w:rPr>
          <w:rFonts w:ascii="Times New Roman" w:hAnsi="Times New Roman"/>
          <w:sz w:val="24"/>
        </w:rPr>
        <w:t>.</w:t>
      </w:r>
    </w:p>
    <w:p w14:paraId="7E9DDFE5" w14:textId="15745E9D" w:rsidR="00106519" w:rsidRDefault="00106519" w:rsidP="00921D92">
      <w:pPr>
        <w:spacing w:after="0" w:line="240" w:lineRule="auto"/>
        <w:ind w:firstLine="720"/>
        <w:jc w:val="both"/>
        <w:rPr>
          <w:rFonts w:ascii="Times New Roman" w:hAnsi="Times New Roman" w:cs="Times New Roman"/>
          <w:sz w:val="24"/>
          <w:szCs w:val="24"/>
        </w:rPr>
      </w:pPr>
      <w:r>
        <w:rPr>
          <w:rFonts w:ascii="Times New Roman" w:hAnsi="Times New Roman"/>
          <w:sz w:val="24"/>
        </w:rPr>
        <w:t>Dagegen stieg i</w:t>
      </w:r>
      <w:r w:rsidR="003D653E">
        <w:rPr>
          <w:rFonts w:ascii="Times New Roman" w:hAnsi="Times New Roman"/>
          <w:sz w:val="24"/>
        </w:rPr>
        <w:t>m Geschäftsj</w:t>
      </w:r>
      <w:r>
        <w:rPr>
          <w:rFonts w:ascii="Times New Roman" w:hAnsi="Times New Roman"/>
          <w:sz w:val="24"/>
        </w:rPr>
        <w:t>ahr 2013</w:t>
      </w:r>
      <w:r w:rsidR="003D653E">
        <w:rPr>
          <w:rFonts w:ascii="Times New Roman" w:hAnsi="Times New Roman"/>
          <w:sz w:val="24"/>
        </w:rPr>
        <w:t>/</w:t>
      </w:r>
      <w:r>
        <w:rPr>
          <w:rFonts w:ascii="Times New Roman" w:hAnsi="Times New Roman"/>
          <w:sz w:val="24"/>
        </w:rPr>
        <w:t xml:space="preserve">2014 allein beim britischen Financial Ombudsman Service sowohl die Zahl der Erstanfragen </w:t>
      </w:r>
      <w:r w:rsidR="003D653E">
        <w:rPr>
          <w:rFonts w:ascii="Times New Roman" w:hAnsi="Times New Roman"/>
          <w:sz w:val="24"/>
        </w:rPr>
        <w:t>(</w:t>
      </w:r>
      <w:r>
        <w:rPr>
          <w:rFonts w:ascii="Times New Roman" w:hAnsi="Times New Roman"/>
          <w:sz w:val="24"/>
        </w:rPr>
        <w:t xml:space="preserve">von 562.340 2003 </w:t>
      </w:r>
      <w:r w:rsidR="00153E9B">
        <w:rPr>
          <w:rFonts w:ascii="Times New Roman" w:hAnsi="Times New Roman"/>
          <w:sz w:val="24"/>
        </w:rPr>
        <w:t xml:space="preserve">im Jahre 2003 </w:t>
      </w:r>
      <w:r>
        <w:rPr>
          <w:rFonts w:ascii="Times New Roman" w:hAnsi="Times New Roman"/>
          <w:sz w:val="24"/>
        </w:rPr>
        <w:t>auf 2.357.374</w:t>
      </w:r>
      <w:r w:rsidR="003D653E">
        <w:rPr>
          <w:rFonts w:ascii="Times New Roman" w:hAnsi="Times New Roman"/>
          <w:sz w:val="24"/>
        </w:rPr>
        <w:t>)</w:t>
      </w:r>
      <w:r>
        <w:rPr>
          <w:rFonts w:ascii="Times New Roman" w:hAnsi="Times New Roman"/>
          <w:sz w:val="24"/>
        </w:rPr>
        <w:t xml:space="preserve"> </w:t>
      </w:r>
      <w:proofErr w:type="gramStart"/>
      <w:r>
        <w:rPr>
          <w:rFonts w:ascii="Times New Roman" w:hAnsi="Times New Roman"/>
          <w:sz w:val="24"/>
        </w:rPr>
        <w:t>als</w:t>
      </w:r>
      <w:proofErr w:type="gramEnd"/>
      <w:r>
        <w:rPr>
          <w:rFonts w:ascii="Times New Roman" w:hAnsi="Times New Roman"/>
          <w:sz w:val="24"/>
        </w:rPr>
        <w:t xml:space="preserve"> auch die Zahl der </w:t>
      </w:r>
      <w:r w:rsidR="00153E9B">
        <w:rPr>
          <w:rFonts w:ascii="Times New Roman" w:hAnsi="Times New Roman"/>
          <w:sz w:val="24"/>
        </w:rPr>
        <w:t xml:space="preserve">intensive Auseinandersetzung bedürfenden </w:t>
      </w:r>
      <w:r>
        <w:rPr>
          <w:rFonts w:ascii="Times New Roman" w:hAnsi="Times New Roman"/>
          <w:sz w:val="24"/>
        </w:rPr>
        <w:t xml:space="preserve">Fälle (512.167). Die Zahl der Fälle </w:t>
      </w:r>
      <w:proofErr w:type="gramStart"/>
      <w:r w:rsidR="00153E9B">
        <w:rPr>
          <w:rFonts w:ascii="Times New Roman" w:hAnsi="Times New Roman"/>
          <w:sz w:val="24"/>
        </w:rPr>
        <w:t>ist</w:t>
      </w:r>
      <w:proofErr w:type="gramEnd"/>
      <w:r w:rsidR="00153E9B">
        <w:rPr>
          <w:rFonts w:ascii="Times New Roman" w:hAnsi="Times New Roman"/>
          <w:sz w:val="24"/>
        </w:rPr>
        <w:t xml:space="preserve"> auch </w:t>
      </w:r>
      <w:r>
        <w:rPr>
          <w:rFonts w:ascii="Times New Roman" w:hAnsi="Times New Roman"/>
          <w:sz w:val="24"/>
        </w:rPr>
        <w:t xml:space="preserve">für den </w:t>
      </w:r>
      <w:r w:rsidR="00153E9B">
        <w:rPr>
          <w:rFonts w:ascii="Times New Roman" w:hAnsi="Times New Roman"/>
          <w:sz w:val="24"/>
        </w:rPr>
        <w:t xml:space="preserve">allgemeinen (non-financial) </w:t>
      </w:r>
      <w:r>
        <w:rPr>
          <w:rFonts w:ascii="Times New Roman" w:hAnsi="Times New Roman"/>
          <w:sz w:val="24"/>
        </w:rPr>
        <w:t>Ombudsman-Service in den letzten Jahren gestiegen</w:t>
      </w:r>
      <w:r w:rsidR="00153E9B">
        <w:rPr>
          <w:rFonts w:ascii="Times New Roman" w:hAnsi="Times New Roman"/>
          <w:sz w:val="24"/>
        </w:rPr>
        <w:t>:</w:t>
      </w:r>
      <w:r>
        <w:rPr>
          <w:rFonts w:ascii="Times New Roman" w:hAnsi="Times New Roman"/>
          <w:sz w:val="24"/>
        </w:rPr>
        <w:t xml:space="preserve"> 2013/2014 gab es 173.664 Erstkontakte und 28.640 Streitbeilegungen in den vier Haupt</w:t>
      </w:r>
      <w:r w:rsidR="00153E9B">
        <w:rPr>
          <w:rFonts w:ascii="Times New Roman" w:hAnsi="Times New Roman"/>
          <w:sz w:val="24"/>
        </w:rPr>
        <w:t>tätigkeitsfelder</w:t>
      </w:r>
      <w:r>
        <w:rPr>
          <w:rFonts w:ascii="Times New Roman" w:hAnsi="Times New Roman"/>
          <w:sz w:val="24"/>
        </w:rPr>
        <w:t>n Kommunikation, Energie, Immobilien</w:t>
      </w:r>
      <w:r w:rsidR="00153E9B">
        <w:rPr>
          <w:rFonts w:ascii="Times New Roman" w:hAnsi="Times New Roman"/>
          <w:sz w:val="24"/>
        </w:rPr>
        <w:t xml:space="preserve"> und Urheberrechtslizenzen</w:t>
      </w:r>
      <w:r>
        <w:rPr>
          <w:rFonts w:ascii="Times New Roman" w:hAnsi="Times New Roman"/>
          <w:sz w:val="24"/>
        </w:rPr>
        <w:t xml:space="preserve">. Wenn man berücksichtigt, dass verschiedene </w:t>
      </w:r>
      <w:r w:rsidR="00153E9B">
        <w:rPr>
          <w:rFonts w:ascii="Times New Roman" w:hAnsi="Times New Roman"/>
          <w:sz w:val="24"/>
        </w:rPr>
        <w:t xml:space="preserve">weitere </w:t>
      </w:r>
      <w:r>
        <w:rPr>
          <w:rFonts w:ascii="Times New Roman" w:hAnsi="Times New Roman"/>
          <w:sz w:val="24"/>
        </w:rPr>
        <w:t xml:space="preserve">Ombuds-Systeme sowie möglicherweise 40 Schiedsgerichtssysteme existieren, </w:t>
      </w:r>
      <w:r w:rsidR="00153E9B">
        <w:rPr>
          <w:rFonts w:ascii="Times New Roman" w:hAnsi="Times New Roman"/>
          <w:sz w:val="24"/>
        </w:rPr>
        <w:t>deutet einiges darauf hin</w:t>
      </w:r>
      <w:r>
        <w:rPr>
          <w:rFonts w:ascii="Times New Roman" w:hAnsi="Times New Roman"/>
          <w:sz w:val="24"/>
        </w:rPr>
        <w:t>, dass die Ombuds</w:t>
      </w:r>
      <w:r w:rsidR="00153E9B">
        <w:rPr>
          <w:rFonts w:ascii="Times New Roman" w:hAnsi="Times New Roman"/>
          <w:sz w:val="24"/>
        </w:rPr>
        <w:t>stellen</w:t>
      </w:r>
      <w:r>
        <w:rPr>
          <w:rFonts w:ascii="Times New Roman" w:hAnsi="Times New Roman"/>
          <w:sz w:val="24"/>
        </w:rPr>
        <w:t xml:space="preserve"> in Großbritannien sowohl </w:t>
      </w:r>
      <w:r w:rsidR="00A72F4B">
        <w:rPr>
          <w:rFonts w:ascii="Times New Roman" w:hAnsi="Times New Roman"/>
          <w:sz w:val="24"/>
        </w:rPr>
        <w:t xml:space="preserve">mit Blick </w:t>
      </w:r>
      <w:r w:rsidR="00153E9B">
        <w:rPr>
          <w:rFonts w:ascii="Times New Roman" w:hAnsi="Times New Roman"/>
          <w:sz w:val="24"/>
        </w:rPr>
        <w:t>auf den Zugang zu Rechtsschutz als auch auf die Herstellung von Gerechtigkeit</w:t>
      </w:r>
      <w:r>
        <w:rPr>
          <w:rFonts w:ascii="Times New Roman" w:hAnsi="Times New Roman"/>
          <w:sz w:val="24"/>
        </w:rPr>
        <w:t xml:space="preserve"> bei Auseinandersetzungen zwischen Verbrauchern und </w:t>
      </w:r>
      <w:r w:rsidR="00A72F4B">
        <w:rPr>
          <w:rFonts w:ascii="Times New Roman" w:hAnsi="Times New Roman"/>
          <w:sz w:val="24"/>
        </w:rPr>
        <w:t xml:space="preserve">Unternehmern </w:t>
      </w:r>
      <w:r>
        <w:rPr>
          <w:rFonts w:ascii="Times New Roman" w:hAnsi="Times New Roman"/>
          <w:sz w:val="24"/>
        </w:rPr>
        <w:t xml:space="preserve">bereits </w:t>
      </w:r>
      <w:r w:rsidR="00A72F4B">
        <w:rPr>
          <w:rFonts w:ascii="Times New Roman" w:hAnsi="Times New Roman"/>
          <w:sz w:val="24"/>
        </w:rPr>
        <w:t>an die Stelle der Gerichte getreten sind</w:t>
      </w:r>
      <w:r>
        <w:rPr>
          <w:rFonts w:ascii="Times New Roman" w:hAnsi="Times New Roman"/>
          <w:sz w:val="24"/>
        </w:rPr>
        <w:t xml:space="preserve">. Wenn dies so </w:t>
      </w:r>
      <w:proofErr w:type="gramStart"/>
      <w:r>
        <w:rPr>
          <w:rFonts w:ascii="Times New Roman" w:hAnsi="Times New Roman"/>
          <w:sz w:val="24"/>
        </w:rPr>
        <w:t>ist</w:t>
      </w:r>
      <w:proofErr w:type="gramEnd"/>
      <w:r>
        <w:rPr>
          <w:rFonts w:ascii="Times New Roman" w:hAnsi="Times New Roman"/>
          <w:sz w:val="24"/>
        </w:rPr>
        <w:t>, stellt sich die politische Frage, ob diese alternativen Wege weiter</w:t>
      </w:r>
      <w:r w:rsidR="00A72F4B">
        <w:rPr>
          <w:rFonts w:ascii="Times New Roman" w:hAnsi="Times New Roman"/>
          <w:sz w:val="24"/>
        </w:rPr>
        <w:t>hin</w:t>
      </w:r>
      <w:r>
        <w:rPr>
          <w:rFonts w:ascii="Times New Roman" w:hAnsi="Times New Roman"/>
          <w:sz w:val="24"/>
        </w:rPr>
        <w:t xml:space="preserve"> in Konkurrenz </w:t>
      </w:r>
      <w:r w:rsidR="00A72F4B">
        <w:rPr>
          <w:rFonts w:ascii="Times New Roman" w:hAnsi="Times New Roman"/>
          <w:sz w:val="24"/>
        </w:rPr>
        <w:t>nebeneinander stehen</w:t>
      </w:r>
      <w:r>
        <w:rPr>
          <w:rFonts w:ascii="Times New Roman" w:hAnsi="Times New Roman"/>
          <w:sz w:val="24"/>
        </w:rPr>
        <w:t xml:space="preserve"> sollen</w:t>
      </w:r>
      <w:r w:rsidR="00A72F4B">
        <w:rPr>
          <w:rFonts w:ascii="Times New Roman" w:hAnsi="Times New Roman"/>
          <w:sz w:val="24"/>
        </w:rPr>
        <w:t>,</w:t>
      </w:r>
      <w:r>
        <w:rPr>
          <w:rFonts w:ascii="Times New Roman" w:hAnsi="Times New Roman"/>
          <w:sz w:val="24"/>
        </w:rPr>
        <w:t xml:space="preserve"> oder ob Ombuds</w:t>
      </w:r>
      <w:r w:rsidR="00A72F4B">
        <w:rPr>
          <w:rFonts w:ascii="Times New Roman" w:hAnsi="Times New Roman"/>
          <w:sz w:val="24"/>
        </w:rPr>
        <w:t xml:space="preserve">stellen den Vorrang bekommen und </w:t>
      </w:r>
      <w:r>
        <w:rPr>
          <w:rFonts w:ascii="Times New Roman" w:hAnsi="Times New Roman"/>
          <w:sz w:val="24"/>
        </w:rPr>
        <w:t xml:space="preserve">Gerichte </w:t>
      </w:r>
      <w:r w:rsidR="00A72F4B">
        <w:rPr>
          <w:rFonts w:ascii="Times New Roman" w:hAnsi="Times New Roman"/>
          <w:sz w:val="24"/>
        </w:rPr>
        <w:t>für</w:t>
      </w:r>
      <w:r>
        <w:rPr>
          <w:rFonts w:ascii="Times New Roman" w:hAnsi="Times New Roman"/>
          <w:sz w:val="24"/>
        </w:rPr>
        <w:t xml:space="preserve"> solche Ansprüchen </w:t>
      </w:r>
      <w:r w:rsidR="00A72F4B">
        <w:rPr>
          <w:rFonts w:ascii="Times New Roman" w:hAnsi="Times New Roman"/>
          <w:sz w:val="24"/>
        </w:rPr>
        <w:t>ausgesteuert werden</w:t>
      </w:r>
      <w:r>
        <w:rPr>
          <w:rFonts w:ascii="Times New Roman" w:hAnsi="Times New Roman"/>
          <w:sz w:val="24"/>
        </w:rPr>
        <w:t xml:space="preserve"> sollten. Hierbei entstehen einige signifikante wirtschaftliche Probleme, da die ADR-Systeme im Wesentlichen durch die </w:t>
      </w:r>
      <w:r w:rsidR="00A72F4B">
        <w:rPr>
          <w:rFonts w:ascii="Times New Roman" w:hAnsi="Times New Roman"/>
          <w:sz w:val="24"/>
        </w:rPr>
        <w:t xml:space="preserve">Unternehmen </w:t>
      </w:r>
      <w:r>
        <w:rPr>
          <w:rFonts w:ascii="Times New Roman" w:hAnsi="Times New Roman"/>
          <w:sz w:val="24"/>
        </w:rPr>
        <w:t>finanziert werden und die Gerichte durch den Staat.</w:t>
      </w:r>
    </w:p>
    <w:p w14:paraId="09A34B1B" w14:textId="77777777" w:rsidR="00B93703" w:rsidRDefault="00B93703" w:rsidP="00921D92">
      <w:pPr>
        <w:spacing w:after="0" w:line="240" w:lineRule="auto"/>
        <w:ind w:firstLine="720"/>
        <w:jc w:val="both"/>
        <w:rPr>
          <w:rFonts w:ascii="Times New Roman" w:hAnsi="Times New Roman" w:cs="Times New Roman"/>
          <w:sz w:val="24"/>
          <w:szCs w:val="24"/>
        </w:rPr>
      </w:pPr>
    </w:p>
    <w:p w14:paraId="58850879" w14:textId="77777777" w:rsidR="00B93703" w:rsidRDefault="00B93703" w:rsidP="00921D92">
      <w:pPr>
        <w:spacing w:after="0" w:line="240" w:lineRule="auto"/>
        <w:ind w:firstLine="720"/>
        <w:jc w:val="both"/>
        <w:rPr>
          <w:rFonts w:ascii="Times New Roman" w:hAnsi="Times New Roman" w:cs="Times New Roman"/>
          <w:sz w:val="24"/>
          <w:szCs w:val="24"/>
        </w:rPr>
      </w:pPr>
    </w:p>
    <w:p w14:paraId="02A2F69B" w14:textId="2C5E5858" w:rsidR="002A301F" w:rsidRPr="00F75257" w:rsidRDefault="00D24D22" w:rsidP="00F75257">
      <w:pPr>
        <w:spacing w:after="0" w:line="240" w:lineRule="auto"/>
        <w:jc w:val="center"/>
        <w:rPr>
          <w:rFonts w:ascii="Times New Roman" w:hAnsi="Times New Roman" w:cs="Times New Roman"/>
          <w:b/>
          <w:sz w:val="24"/>
          <w:szCs w:val="24"/>
        </w:rPr>
      </w:pPr>
      <w:r>
        <w:rPr>
          <w:rFonts w:ascii="Times New Roman" w:hAnsi="Times New Roman"/>
          <w:b/>
          <w:sz w:val="24"/>
        </w:rPr>
        <w:t>Fazit</w:t>
      </w:r>
    </w:p>
    <w:p w14:paraId="40DB5A52" w14:textId="77777777" w:rsidR="00F75257" w:rsidRDefault="00F75257" w:rsidP="00F75257">
      <w:pPr>
        <w:spacing w:after="0" w:line="240" w:lineRule="auto"/>
        <w:jc w:val="center"/>
        <w:rPr>
          <w:rFonts w:ascii="Times New Roman" w:hAnsi="Times New Roman" w:cs="Times New Roman"/>
          <w:sz w:val="24"/>
          <w:szCs w:val="24"/>
        </w:rPr>
      </w:pPr>
    </w:p>
    <w:p w14:paraId="3A24D69B" w14:textId="1B1D8D0A" w:rsidR="008F4F40" w:rsidRPr="008F4F40" w:rsidRDefault="00F75257" w:rsidP="00F75257">
      <w:pPr>
        <w:spacing w:after="0" w:line="240" w:lineRule="auto"/>
        <w:jc w:val="both"/>
        <w:rPr>
          <w:rFonts w:ascii="Times New Roman" w:hAnsi="Times New Roman" w:cs="Times New Roman"/>
          <w:sz w:val="24"/>
          <w:szCs w:val="24"/>
        </w:rPr>
      </w:pPr>
      <w:r>
        <w:rPr>
          <w:rFonts w:ascii="Times New Roman" w:hAnsi="Times New Roman"/>
          <w:sz w:val="24"/>
        </w:rPr>
        <w:t>Diese</w:t>
      </w:r>
      <w:r w:rsidR="00A72F4B">
        <w:rPr>
          <w:rFonts w:ascii="Times New Roman" w:hAnsi="Times New Roman"/>
          <w:sz w:val="24"/>
        </w:rPr>
        <w:t xml:space="preserve">r Aufsatz hat </w:t>
      </w:r>
      <w:r>
        <w:rPr>
          <w:rFonts w:ascii="Times New Roman" w:hAnsi="Times New Roman"/>
          <w:sz w:val="24"/>
        </w:rPr>
        <w:t>drei Hauptpunkte</w:t>
      </w:r>
      <w:r w:rsidR="00A72F4B">
        <w:rPr>
          <w:rFonts w:ascii="Times New Roman" w:hAnsi="Times New Roman"/>
          <w:sz w:val="24"/>
        </w:rPr>
        <w:t xml:space="preserve"> diskutiert</w:t>
      </w:r>
      <w:r>
        <w:rPr>
          <w:rFonts w:ascii="Times New Roman" w:hAnsi="Times New Roman"/>
          <w:sz w:val="24"/>
        </w:rPr>
        <w:t xml:space="preserve">: Erstens bietet die Implementierung der EU-Richtlinie über </w:t>
      </w:r>
      <w:r w:rsidR="006B06BF">
        <w:rPr>
          <w:rFonts w:ascii="Times New Roman" w:hAnsi="Times New Roman"/>
          <w:sz w:val="24"/>
        </w:rPr>
        <w:t xml:space="preserve">alternative Streitbeilegung in </w:t>
      </w:r>
      <w:r>
        <w:rPr>
          <w:rFonts w:ascii="Times New Roman" w:hAnsi="Times New Roman"/>
          <w:sz w:val="24"/>
        </w:rPr>
        <w:t>Verbraucher</w:t>
      </w:r>
      <w:r w:rsidR="006B06BF">
        <w:rPr>
          <w:rFonts w:ascii="Times New Roman" w:hAnsi="Times New Roman"/>
          <w:sz w:val="24"/>
        </w:rPr>
        <w:t>angelegenheiten</w:t>
      </w:r>
      <w:r>
        <w:rPr>
          <w:rFonts w:ascii="Times New Roman" w:hAnsi="Times New Roman"/>
          <w:sz w:val="24"/>
        </w:rPr>
        <w:t xml:space="preserve"> verschiedene </w:t>
      </w:r>
      <w:r w:rsidR="00A72F4B">
        <w:rPr>
          <w:rFonts w:ascii="Times New Roman" w:hAnsi="Times New Roman"/>
          <w:sz w:val="24"/>
        </w:rPr>
        <w:t>Ansatzpunkte, den Zugang zu Gerechtigkeit zu verbessern</w:t>
      </w:r>
      <w:r>
        <w:rPr>
          <w:rFonts w:ascii="Times New Roman" w:hAnsi="Times New Roman"/>
          <w:sz w:val="24"/>
        </w:rPr>
        <w:t>. Zweitens kann die Aus</w:t>
      </w:r>
      <w:r w:rsidR="00A72F4B">
        <w:rPr>
          <w:rFonts w:ascii="Times New Roman" w:hAnsi="Times New Roman"/>
          <w:sz w:val="24"/>
        </w:rPr>
        <w:t>gestaltung</w:t>
      </w:r>
      <w:r>
        <w:rPr>
          <w:rFonts w:ascii="Times New Roman" w:hAnsi="Times New Roman"/>
          <w:sz w:val="24"/>
        </w:rPr>
        <w:t xml:space="preserve"> der CDR-Systeme </w:t>
      </w:r>
      <w:r w:rsidR="00A72F4B">
        <w:rPr>
          <w:rFonts w:ascii="Times New Roman" w:hAnsi="Times New Roman"/>
          <w:sz w:val="24"/>
        </w:rPr>
        <w:t xml:space="preserve">massive </w:t>
      </w:r>
      <w:r>
        <w:rPr>
          <w:rFonts w:ascii="Times New Roman" w:hAnsi="Times New Roman"/>
          <w:sz w:val="24"/>
        </w:rPr>
        <w:t>wirtschaftliche Konsequenzen haben</w:t>
      </w:r>
      <w:r w:rsidR="00A72F4B">
        <w:rPr>
          <w:rFonts w:ascii="Times New Roman" w:hAnsi="Times New Roman"/>
          <w:sz w:val="24"/>
        </w:rPr>
        <w:t>:</w:t>
      </w:r>
      <w:r>
        <w:rPr>
          <w:rFonts w:ascii="Times New Roman" w:hAnsi="Times New Roman"/>
          <w:sz w:val="24"/>
        </w:rPr>
        <w:t xml:space="preserve"> Ein auf </w:t>
      </w:r>
      <w:r>
        <w:rPr>
          <w:rFonts w:ascii="Times New Roman" w:hAnsi="Times New Roman"/>
          <w:sz w:val="24"/>
        </w:rPr>
        <w:lastRenderedPageBreak/>
        <w:t xml:space="preserve">Schiedsgerichtsverfahren basierendes CDR-System kann </w:t>
      </w:r>
      <w:r>
        <w:rPr>
          <w:rFonts w:ascii="Times New Roman" w:hAnsi="Times New Roman"/>
          <w:i/>
          <w:sz w:val="24"/>
        </w:rPr>
        <w:t>zur Streitbeilegung</w:t>
      </w:r>
      <w:r w:rsidR="008803BC">
        <w:rPr>
          <w:rFonts w:ascii="Times New Roman" w:hAnsi="Times New Roman"/>
          <w:i/>
          <w:sz w:val="24"/>
        </w:rPr>
        <w:t xml:space="preserve"> </w:t>
      </w:r>
      <w:r>
        <w:rPr>
          <w:rFonts w:ascii="Times New Roman" w:hAnsi="Times New Roman"/>
          <w:sz w:val="24"/>
        </w:rPr>
        <w:t xml:space="preserve">vollständig akzeptabel sein, </w:t>
      </w:r>
      <w:r w:rsidR="00A72F4B">
        <w:rPr>
          <w:rFonts w:ascii="Times New Roman" w:hAnsi="Times New Roman"/>
          <w:sz w:val="24"/>
        </w:rPr>
        <w:t xml:space="preserve">aber </w:t>
      </w:r>
      <w:r>
        <w:rPr>
          <w:rFonts w:ascii="Times New Roman" w:hAnsi="Times New Roman"/>
          <w:sz w:val="24"/>
        </w:rPr>
        <w:t xml:space="preserve">ein Ombuds-System hätte </w:t>
      </w:r>
      <w:r w:rsidR="00A72F4B">
        <w:rPr>
          <w:rFonts w:ascii="Times New Roman" w:hAnsi="Times New Roman"/>
          <w:sz w:val="24"/>
        </w:rPr>
        <w:t xml:space="preserve">die beträchtlichen </w:t>
      </w:r>
      <w:r>
        <w:rPr>
          <w:rFonts w:ascii="Times New Roman" w:hAnsi="Times New Roman"/>
          <w:sz w:val="24"/>
        </w:rPr>
        <w:t>zusätzlich</w:t>
      </w:r>
      <w:r w:rsidR="00A72F4B">
        <w:rPr>
          <w:rFonts w:ascii="Times New Roman" w:hAnsi="Times New Roman"/>
          <w:sz w:val="24"/>
        </w:rPr>
        <w:t>en</w:t>
      </w:r>
      <w:r>
        <w:rPr>
          <w:rFonts w:ascii="Times New Roman" w:hAnsi="Times New Roman"/>
          <w:sz w:val="24"/>
        </w:rPr>
        <w:t xml:space="preserve"> Vorteile</w:t>
      </w:r>
      <w:r w:rsidR="00A72F4B">
        <w:rPr>
          <w:rFonts w:ascii="Times New Roman" w:hAnsi="Times New Roman"/>
          <w:sz w:val="24"/>
        </w:rPr>
        <w:t>,</w:t>
      </w:r>
      <w:r>
        <w:rPr>
          <w:rFonts w:ascii="Times New Roman" w:hAnsi="Times New Roman"/>
          <w:sz w:val="24"/>
        </w:rPr>
        <w:t xml:space="preserve"> umfassende </w:t>
      </w:r>
      <w:r>
        <w:rPr>
          <w:rFonts w:ascii="Times New Roman" w:hAnsi="Times New Roman"/>
          <w:i/>
          <w:sz w:val="24"/>
        </w:rPr>
        <w:t>Verbraucherberatung</w:t>
      </w:r>
      <w:r>
        <w:rPr>
          <w:rFonts w:ascii="Times New Roman" w:hAnsi="Times New Roman"/>
          <w:sz w:val="24"/>
        </w:rPr>
        <w:t xml:space="preserve"> und </w:t>
      </w:r>
      <w:r>
        <w:rPr>
          <w:rFonts w:ascii="Times New Roman" w:hAnsi="Times New Roman"/>
          <w:i/>
          <w:sz w:val="24"/>
        </w:rPr>
        <w:t>regulierungsbehördlich</w:t>
      </w:r>
      <w:r w:rsidR="004C5C2F">
        <w:rPr>
          <w:rFonts w:ascii="Times New Roman" w:hAnsi="Times New Roman"/>
          <w:i/>
          <w:sz w:val="24"/>
        </w:rPr>
        <w:t xml:space="preserve"> r</w:t>
      </w:r>
      <w:r>
        <w:rPr>
          <w:rFonts w:ascii="Times New Roman" w:hAnsi="Times New Roman"/>
          <w:i/>
          <w:sz w:val="24"/>
        </w:rPr>
        <w:t>e</w:t>
      </w:r>
      <w:r w:rsidR="004C5C2F">
        <w:rPr>
          <w:rFonts w:ascii="Times New Roman" w:hAnsi="Times New Roman"/>
          <w:i/>
          <w:sz w:val="24"/>
        </w:rPr>
        <w:t>levante</w:t>
      </w:r>
      <w:r>
        <w:rPr>
          <w:rFonts w:ascii="Times New Roman" w:hAnsi="Times New Roman"/>
          <w:i/>
          <w:sz w:val="24"/>
        </w:rPr>
        <w:t xml:space="preserve"> Informationen</w:t>
      </w:r>
      <w:r w:rsidR="004C5C2F">
        <w:rPr>
          <w:rFonts w:ascii="Times New Roman" w:hAnsi="Times New Roman"/>
          <w:i/>
          <w:sz w:val="24"/>
        </w:rPr>
        <w:t xml:space="preserve"> </w:t>
      </w:r>
      <w:r w:rsidR="004C5C2F">
        <w:rPr>
          <w:rFonts w:ascii="Times New Roman" w:hAnsi="Times New Roman"/>
          <w:sz w:val="24"/>
        </w:rPr>
        <w:t>bereitzustellen</w:t>
      </w:r>
      <w:r w:rsidRPr="006813EC">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die von </w:t>
      </w:r>
      <w:r w:rsidR="004C5C2F">
        <w:rPr>
          <w:rFonts w:ascii="Times New Roman" w:hAnsi="Times New Roman"/>
          <w:sz w:val="24"/>
        </w:rPr>
        <w:t>Marktaufsicht</w:t>
      </w:r>
      <w:r>
        <w:rPr>
          <w:rFonts w:ascii="Times New Roman" w:hAnsi="Times New Roman"/>
          <w:sz w:val="24"/>
        </w:rPr>
        <w:t>s</w:t>
      </w:r>
      <w:r w:rsidR="004C5C2F">
        <w:rPr>
          <w:rFonts w:ascii="Times New Roman" w:hAnsi="Times New Roman"/>
          <w:sz w:val="24"/>
        </w:rPr>
        <w:t>- und Rechtsdurchsetzungs</w:t>
      </w:r>
      <w:r>
        <w:rPr>
          <w:rFonts w:ascii="Times New Roman" w:hAnsi="Times New Roman"/>
          <w:sz w:val="24"/>
        </w:rPr>
        <w:t>behörden gut genutzt werden könnten. Drittens besteht die Möglichkeit, Streitbeilegung</w:t>
      </w:r>
      <w:r w:rsidR="009138CA">
        <w:rPr>
          <w:rFonts w:ascii="Times New Roman" w:hAnsi="Times New Roman"/>
          <w:sz w:val="24"/>
        </w:rPr>
        <w:t>ssysteme</w:t>
      </w:r>
      <w:r>
        <w:rPr>
          <w:rFonts w:ascii="Times New Roman" w:hAnsi="Times New Roman"/>
          <w:sz w:val="24"/>
        </w:rPr>
        <w:t xml:space="preserve"> </w:t>
      </w:r>
      <w:r>
        <w:rPr>
          <w:rFonts w:ascii="Times New Roman" w:hAnsi="Times New Roman"/>
          <w:i/>
          <w:sz w:val="24"/>
        </w:rPr>
        <w:t>jeder</w:t>
      </w:r>
      <w:r>
        <w:rPr>
          <w:rFonts w:ascii="Times New Roman" w:hAnsi="Times New Roman"/>
          <w:sz w:val="24"/>
        </w:rPr>
        <w:t xml:space="preserve"> Art zu modernisieren. </w:t>
      </w:r>
      <w:r w:rsidR="009138CA">
        <w:rPr>
          <w:rFonts w:ascii="Times New Roman" w:hAnsi="Times New Roman"/>
          <w:sz w:val="24"/>
        </w:rPr>
        <w:t xml:space="preserve">Die Technik der </w:t>
      </w:r>
      <w:r>
        <w:rPr>
          <w:rFonts w:ascii="Times New Roman" w:hAnsi="Times New Roman"/>
          <w:sz w:val="24"/>
        </w:rPr>
        <w:t xml:space="preserve">Mediation </w:t>
      </w:r>
      <w:proofErr w:type="gramStart"/>
      <w:r>
        <w:rPr>
          <w:rFonts w:ascii="Times New Roman" w:hAnsi="Times New Roman"/>
          <w:sz w:val="24"/>
        </w:rPr>
        <w:t>ist</w:t>
      </w:r>
      <w:proofErr w:type="gramEnd"/>
      <w:r>
        <w:rPr>
          <w:rFonts w:ascii="Times New Roman" w:hAnsi="Times New Roman"/>
          <w:sz w:val="24"/>
        </w:rPr>
        <w:t xml:space="preserve"> </w:t>
      </w:r>
      <w:r w:rsidR="00D24D22">
        <w:rPr>
          <w:rFonts w:ascii="Times New Roman" w:hAnsi="Times New Roman"/>
          <w:sz w:val="24"/>
        </w:rPr>
        <w:t xml:space="preserve">zwar auch </w:t>
      </w:r>
      <w:r w:rsidR="009138CA">
        <w:rPr>
          <w:rFonts w:ascii="Times New Roman" w:hAnsi="Times New Roman"/>
          <w:sz w:val="24"/>
        </w:rPr>
        <w:t>in das</w:t>
      </w:r>
      <w:r>
        <w:rPr>
          <w:rFonts w:ascii="Times New Roman" w:hAnsi="Times New Roman"/>
          <w:sz w:val="24"/>
        </w:rPr>
        <w:t xml:space="preserve"> </w:t>
      </w:r>
      <w:r w:rsidR="005C373D">
        <w:rPr>
          <w:rFonts w:ascii="Times New Roman" w:hAnsi="Times New Roman"/>
          <w:sz w:val="24"/>
        </w:rPr>
        <w:t xml:space="preserve">Justizsystem </w:t>
      </w:r>
      <w:r w:rsidR="009138CA">
        <w:rPr>
          <w:rFonts w:ascii="Times New Roman" w:hAnsi="Times New Roman"/>
          <w:sz w:val="24"/>
        </w:rPr>
        <w:t xml:space="preserve">integriert </w:t>
      </w:r>
      <w:r>
        <w:rPr>
          <w:rFonts w:ascii="Times New Roman" w:hAnsi="Times New Roman"/>
          <w:sz w:val="24"/>
        </w:rPr>
        <w:t>worden. Die CDR-Systeme zeigen jedoch, dass neue</w:t>
      </w:r>
      <w:r w:rsidR="009138CA">
        <w:rPr>
          <w:rFonts w:ascii="Times New Roman" w:hAnsi="Times New Roman"/>
          <w:sz w:val="24"/>
        </w:rPr>
        <w:t xml:space="preserve">, </w:t>
      </w:r>
      <w:proofErr w:type="gramStart"/>
      <w:r w:rsidR="009138CA">
        <w:rPr>
          <w:rFonts w:ascii="Times New Roman" w:hAnsi="Times New Roman"/>
          <w:sz w:val="24"/>
        </w:rPr>
        <w:t>spezialisierte</w:t>
      </w:r>
      <w:proofErr w:type="gramEnd"/>
      <w:r w:rsidR="009138CA">
        <w:rPr>
          <w:rFonts w:ascii="Times New Roman" w:hAnsi="Times New Roman"/>
          <w:sz w:val="24"/>
        </w:rPr>
        <w:t xml:space="preserve"> Architekturen</w:t>
      </w:r>
      <w:r>
        <w:rPr>
          <w:rFonts w:ascii="Times New Roman" w:hAnsi="Times New Roman"/>
          <w:sz w:val="24"/>
        </w:rPr>
        <w:t xml:space="preserve"> für bestimmte Streitigkeiten effektivere und effizientere Streitbeilegung </w:t>
      </w:r>
      <w:r w:rsidR="009138CA">
        <w:rPr>
          <w:rFonts w:ascii="Times New Roman" w:hAnsi="Times New Roman"/>
          <w:sz w:val="24"/>
        </w:rPr>
        <w:t>bewirken können</w:t>
      </w:r>
      <w:r>
        <w:rPr>
          <w:rFonts w:ascii="Times New Roman" w:hAnsi="Times New Roman"/>
          <w:sz w:val="24"/>
        </w:rPr>
        <w:t xml:space="preserve">. </w:t>
      </w:r>
      <w:r w:rsidR="00CD117F">
        <w:rPr>
          <w:rFonts w:ascii="Times New Roman" w:hAnsi="Times New Roman"/>
          <w:sz w:val="24"/>
        </w:rPr>
        <w:t xml:space="preserve">Man kann daher mit guten Gründen </w:t>
      </w:r>
      <w:proofErr w:type="gramStart"/>
      <w:r w:rsidR="00CD117F">
        <w:rPr>
          <w:rFonts w:ascii="Times New Roman" w:hAnsi="Times New Roman"/>
          <w:sz w:val="24"/>
        </w:rPr>
        <w:t>als</w:t>
      </w:r>
      <w:proofErr w:type="gramEnd"/>
      <w:r w:rsidR="00CD117F">
        <w:rPr>
          <w:rFonts w:ascii="Times New Roman" w:hAnsi="Times New Roman"/>
          <w:sz w:val="24"/>
        </w:rPr>
        <w:t xml:space="preserve"> Zielvorstellung </w:t>
      </w:r>
      <w:r>
        <w:rPr>
          <w:rFonts w:ascii="Times New Roman" w:hAnsi="Times New Roman"/>
          <w:sz w:val="24"/>
        </w:rPr>
        <w:t>ein reformierte</w:t>
      </w:r>
      <w:r w:rsidR="00CD117F">
        <w:rPr>
          <w:rFonts w:ascii="Times New Roman" w:hAnsi="Times New Roman"/>
          <w:sz w:val="24"/>
        </w:rPr>
        <w:t>s</w:t>
      </w:r>
      <w:r>
        <w:rPr>
          <w:rFonts w:ascii="Times New Roman" w:hAnsi="Times New Roman"/>
          <w:sz w:val="24"/>
        </w:rPr>
        <w:t xml:space="preserve">, </w:t>
      </w:r>
      <w:r w:rsidR="00CD117F">
        <w:rPr>
          <w:rFonts w:ascii="Times New Roman" w:hAnsi="Times New Roman"/>
          <w:sz w:val="24"/>
        </w:rPr>
        <w:t xml:space="preserve">integriertes und </w:t>
      </w:r>
      <w:r>
        <w:rPr>
          <w:rFonts w:ascii="Times New Roman" w:hAnsi="Times New Roman"/>
          <w:sz w:val="24"/>
        </w:rPr>
        <w:t>ganzheitliche</w:t>
      </w:r>
      <w:r w:rsidR="00CD117F">
        <w:rPr>
          <w:rFonts w:ascii="Times New Roman" w:hAnsi="Times New Roman"/>
          <w:sz w:val="24"/>
        </w:rPr>
        <w:t>s</w:t>
      </w:r>
      <w:r>
        <w:rPr>
          <w:rFonts w:ascii="Times New Roman" w:hAnsi="Times New Roman"/>
          <w:sz w:val="24"/>
        </w:rPr>
        <w:t xml:space="preserve"> Systems </w:t>
      </w:r>
      <w:r w:rsidR="00CD117F">
        <w:rPr>
          <w:rFonts w:ascii="Times New Roman" w:hAnsi="Times New Roman"/>
          <w:sz w:val="24"/>
        </w:rPr>
        <w:t>der</w:t>
      </w:r>
      <w:r>
        <w:rPr>
          <w:rFonts w:ascii="Times New Roman" w:hAnsi="Times New Roman"/>
          <w:sz w:val="24"/>
        </w:rPr>
        <w:t xml:space="preserve"> Konflikt</w:t>
      </w:r>
      <w:r w:rsidR="00CD117F">
        <w:rPr>
          <w:rFonts w:ascii="Times New Roman" w:hAnsi="Times New Roman"/>
          <w:sz w:val="24"/>
        </w:rPr>
        <w:t>lösung</w:t>
      </w:r>
      <w:r>
        <w:rPr>
          <w:rFonts w:ascii="Times New Roman" w:hAnsi="Times New Roman"/>
          <w:sz w:val="24"/>
        </w:rPr>
        <w:t xml:space="preserve"> </w:t>
      </w:r>
      <w:r w:rsidR="00CD117F">
        <w:rPr>
          <w:rFonts w:ascii="Times New Roman" w:hAnsi="Times New Roman"/>
          <w:sz w:val="24"/>
        </w:rPr>
        <w:t>in der Europäischen Union einfordern</w:t>
      </w:r>
      <w:r>
        <w:rPr>
          <w:rFonts w:ascii="Times New Roman" w:hAnsi="Times New Roman"/>
          <w:sz w:val="24"/>
        </w:rPr>
        <w:t>.</w:t>
      </w:r>
    </w:p>
    <w:p w14:paraId="3249C87C" w14:textId="77777777" w:rsidR="00270EE9" w:rsidRDefault="00270EE9" w:rsidP="00270EE9">
      <w:pPr>
        <w:spacing w:after="0" w:line="240" w:lineRule="auto"/>
        <w:jc w:val="both"/>
        <w:rPr>
          <w:rFonts w:ascii="Times New Roman" w:hAnsi="Times New Roman" w:cs="Times New Roman"/>
          <w:sz w:val="24"/>
          <w:szCs w:val="24"/>
        </w:rPr>
      </w:pPr>
    </w:p>
    <w:p w14:paraId="539CFE29" w14:textId="77777777" w:rsidR="00270EE9" w:rsidRDefault="00270EE9" w:rsidP="00270EE9">
      <w:pPr>
        <w:spacing w:after="0" w:line="240" w:lineRule="auto"/>
        <w:jc w:val="both"/>
        <w:rPr>
          <w:rFonts w:ascii="Times New Roman" w:hAnsi="Times New Roman" w:cs="Times New Roman"/>
          <w:sz w:val="24"/>
          <w:szCs w:val="24"/>
        </w:rPr>
      </w:pPr>
    </w:p>
    <w:p w14:paraId="48CF3ED0" w14:textId="77777777" w:rsidR="00270EE9" w:rsidRDefault="00270EE9">
      <w:pPr>
        <w:rPr>
          <w:rFonts w:ascii="Times New Roman" w:hAnsi="Times New Roman" w:cs="Times New Roman"/>
          <w:sz w:val="24"/>
          <w:szCs w:val="24"/>
        </w:rPr>
      </w:pPr>
      <w:r>
        <w:br w:type="page"/>
      </w:r>
    </w:p>
    <w:p w14:paraId="51A99C2F" w14:textId="77777777" w:rsidR="00303624" w:rsidRDefault="00303624" w:rsidP="00270EE9">
      <w:pPr>
        <w:spacing w:after="0" w:line="240" w:lineRule="auto"/>
        <w:jc w:val="center"/>
        <w:rPr>
          <w:rFonts w:ascii="Times New Roman" w:hAnsi="Times New Roman" w:cs="Times New Roman"/>
          <w:sz w:val="24"/>
          <w:szCs w:val="24"/>
        </w:rPr>
        <w:sectPr w:rsidR="00303624">
          <w:footerReference w:type="default" r:id="rId9"/>
          <w:pgSz w:w="11906" w:h="16838"/>
          <w:pgMar w:top="1440" w:right="1440" w:bottom="1440" w:left="1440" w:header="708" w:footer="708" w:gutter="0"/>
          <w:cols w:space="708"/>
          <w:docGrid w:linePitch="360"/>
        </w:sectPr>
      </w:pPr>
    </w:p>
    <w:p w14:paraId="72D9A31E" w14:textId="32536D37" w:rsidR="00270EE9" w:rsidRDefault="00270EE9" w:rsidP="00270EE9">
      <w:pPr>
        <w:spacing w:after="0" w:line="240" w:lineRule="auto"/>
        <w:jc w:val="center"/>
        <w:rPr>
          <w:rFonts w:ascii="Times New Roman" w:hAnsi="Times New Roman" w:cs="Times New Roman"/>
          <w:sz w:val="24"/>
          <w:szCs w:val="24"/>
        </w:rPr>
      </w:pPr>
      <w:r>
        <w:rPr>
          <w:rFonts w:ascii="Times New Roman" w:hAnsi="Times New Roman"/>
          <w:sz w:val="24"/>
        </w:rPr>
        <w:lastRenderedPageBreak/>
        <w:t>Tabelle 2: Zivilverfahren vor de</w:t>
      </w:r>
      <w:r w:rsidR="00AD047F">
        <w:rPr>
          <w:rFonts w:ascii="Times New Roman" w:hAnsi="Times New Roman"/>
          <w:sz w:val="24"/>
        </w:rPr>
        <w:t>n</w:t>
      </w:r>
      <w:r>
        <w:rPr>
          <w:rFonts w:ascii="Times New Roman" w:hAnsi="Times New Roman"/>
          <w:sz w:val="24"/>
        </w:rPr>
        <w:t xml:space="preserve"> Bezirksgericht</w:t>
      </w:r>
      <w:r w:rsidR="00AD047F">
        <w:rPr>
          <w:rFonts w:ascii="Times New Roman" w:hAnsi="Times New Roman"/>
          <w:sz w:val="24"/>
        </w:rPr>
        <w:t>en</w:t>
      </w:r>
      <w:r>
        <w:rPr>
          <w:rFonts w:ascii="Times New Roman" w:hAnsi="Times New Roman"/>
          <w:sz w:val="24"/>
        </w:rPr>
        <w:t xml:space="preserve"> </w:t>
      </w:r>
      <w:r w:rsidR="00AD047F">
        <w:rPr>
          <w:rFonts w:ascii="Times New Roman" w:hAnsi="Times New Roman"/>
          <w:sz w:val="24"/>
        </w:rPr>
        <w:t>in</w:t>
      </w:r>
      <w:r>
        <w:rPr>
          <w:rFonts w:ascii="Times New Roman" w:hAnsi="Times New Roman"/>
          <w:sz w:val="24"/>
        </w:rPr>
        <w:t xml:space="preserve"> England und Wales 2000 bis 2013</w:t>
      </w:r>
      <w:r>
        <w:rPr>
          <w:rStyle w:val="Funotenzeichen"/>
          <w:rFonts w:ascii="Times New Roman" w:hAnsi="Times New Roman"/>
          <w:sz w:val="24"/>
        </w:rPr>
        <w:footnoteReference w:id="45"/>
      </w:r>
    </w:p>
    <w:p w14:paraId="2253B341" w14:textId="77777777" w:rsidR="00270EE9" w:rsidRDefault="00270EE9" w:rsidP="00270EE9">
      <w:pPr>
        <w:spacing w:after="0" w:line="240" w:lineRule="auto"/>
        <w:jc w:val="both"/>
        <w:rPr>
          <w:rFonts w:ascii="Times New Roman" w:hAnsi="Times New Roman" w:cs="Times New Roman"/>
          <w:sz w:val="24"/>
          <w:szCs w:val="24"/>
        </w:rPr>
      </w:pPr>
    </w:p>
    <w:tbl>
      <w:tblPr>
        <w:tblStyle w:val="Tabellenraster"/>
        <w:tblW w:w="0" w:type="auto"/>
        <w:tblLayout w:type="fixed"/>
        <w:tblLook w:val="04A0" w:firstRow="1" w:lastRow="0" w:firstColumn="1" w:lastColumn="0" w:noHBand="0" w:noVBand="1"/>
      </w:tblPr>
      <w:tblGrid>
        <w:gridCol w:w="959"/>
        <w:gridCol w:w="1549"/>
        <w:gridCol w:w="1002"/>
        <w:gridCol w:w="1985"/>
        <w:gridCol w:w="1166"/>
        <w:gridCol w:w="1356"/>
        <w:gridCol w:w="1541"/>
        <w:gridCol w:w="1413"/>
        <w:gridCol w:w="1495"/>
        <w:gridCol w:w="1708"/>
      </w:tblGrid>
      <w:tr w:rsidR="00E37BB4" w:rsidRPr="00735D83" w14:paraId="68844F25" w14:textId="77777777" w:rsidTr="008803BC">
        <w:trPr>
          <w:trHeight w:val="1299"/>
        </w:trPr>
        <w:tc>
          <w:tcPr>
            <w:tcW w:w="959" w:type="dxa"/>
          </w:tcPr>
          <w:p w14:paraId="00109A1C" w14:textId="77777777" w:rsidR="00E37BB4" w:rsidRPr="00741A41" w:rsidRDefault="00E37BB4" w:rsidP="00F75257">
            <w:pPr>
              <w:jc w:val="center"/>
              <w:rPr>
                <w:rFonts w:ascii="Times New Roman" w:hAnsi="Times New Roman" w:cs="Times New Roman"/>
                <w:b/>
                <w:sz w:val="18"/>
                <w:szCs w:val="18"/>
              </w:rPr>
            </w:pPr>
            <w:r>
              <w:rPr>
                <w:rFonts w:ascii="Times New Roman" w:hAnsi="Times New Roman"/>
                <w:b/>
                <w:sz w:val="18"/>
              </w:rPr>
              <w:t>Zeitraum</w:t>
            </w:r>
          </w:p>
        </w:tc>
        <w:tc>
          <w:tcPr>
            <w:tcW w:w="1549" w:type="dxa"/>
          </w:tcPr>
          <w:p w14:paraId="17F4E151" w14:textId="77777777" w:rsidR="00E37BB4" w:rsidRPr="00741A41" w:rsidRDefault="00E37BB4" w:rsidP="00F75257">
            <w:pPr>
              <w:jc w:val="center"/>
              <w:rPr>
                <w:rFonts w:ascii="Times New Roman" w:hAnsi="Times New Roman" w:cs="Times New Roman"/>
                <w:sz w:val="18"/>
                <w:szCs w:val="18"/>
              </w:rPr>
            </w:pPr>
            <w:r>
              <w:rPr>
                <w:rFonts w:ascii="Times New Roman" w:hAnsi="Times New Roman"/>
                <w:b/>
                <w:sz w:val="18"/>
              </w:rPr>
              <w:t>Gesamtzahl der Zivilverfahren vor Amtsgerichten und Bezirksgerichten</w:t>
            </w:r>
            <w:r>
              <w:rPr>
                <w:rStyle w:val="Funotenzeichen"/>
                <w:rFonts w:ascii="Times New Roman" w:hAnsi="Times New Roman"/>
                <w:b/>
                <w:sz w:val="18"/>
              </w:rPr>
              <w:footnoteReference w:id="46"/>
            </w:r>
            <w:r>
              <w:rPr>
                <w:rFonts w:ascii="Times New Roman" w:hAnsi="Times New Roman"/>
                <w:sz w:val="18"/>
              </w:rPr>
              <w:t>*</w:t>
            </w:r>
          </w:p>
        </w:tc>
        <w:tc>
          <w:tcPr>
            <w:tcW w:w="1002" w:type="dxa"/>
          </w:tcPr>
          <w:p w14:paraId="28749C4C" w14:textId="77777777" w:rsidR="00E37BB4" w:rsidRPr="00741A41" w:rsidRDefault="00E37BB4" w:rsidP="00BC454C">
            <w:pPr>
              <w:jc w:val="center"/>
              <w:rPr>
                <w:rFonts w:ascii="Times New Roman" w:eastAsia="MS Mincho" w:hAnsi="Times New Roman" w:cs="Times New Roman"/>
                <w:i/>
                <w:sz w:val="18"/>
                <w:szCs w:val="18"/>
              </w:rPr>
            </w:pPr>
            <w:r>
              <w:rPr>
                <w:rFonts w:ascii="Times New Roman" w:hAnsi="Times New Roman"/>
                <w:b/>
                <w:sz w:val="18"/>
              </w:rPr>
              <w:t xml:space="preserve">Anzahl der Einreden </w:t>
            </w:r>
            <w:r>
              <w:rPr>
                <w:rFonts w:ascii="Times New Roman" w:hAnsi="Times New Roman"/>
                <w:sz w:val="18"/>
              </w:rPr>
              <w:t>*</w:t>
            </w:r>
          </w:p>
        </w:tc>
        <w:tc>
          <w:tcPr>
            <w:tcW w:w="1985" w:type="dxa"/>
          </w:tcPr>
          <w:p w14:paraId="1C9CD5C3" w14:textId="77777777" w:rsidR="00E37BB4" w:rsidRPr="00741A41" w:rsidRDefault="00E37BB4" w:rsidP="00F75257">
            <w:pPr>
              <w:jc w:val="center"/>
              <w:rPr>
                <w:rFonts w:ascii="Times New Roman" w:hAnsi="Times New Roman" w:cs="Times New Roman"/>
                <w:sz w:val="18"/>
                <w:szCs w:val="18"/>
              </w:rPr>
            </w:pPr>
            <w:r>
              <w:rPr>
                <w:rFonts w:ascii="Times New Roman" w:hAnsi="Times New Roman"/>
                <w:b/>
                <w:sz w:val="18"/>
              </w:rPr>
              <w:t>Einordnung in eine der Verfahrenskategorien</w:t>
            </w:r>
            <w:r>
              <w:rPr>
                <w:rFonts w:ascii="Times New Roman" w:hAnsi="Times New Roman"/>
                <w:sz w:val="18"/>
              </w:rPr>
              <w:t>*</w:t>
            </w:r>
          </w:p>
        </w:tc>
        <w:tc>
          <w:tcPr>
            <w:tcW w:w="1166" w:type="dxa"/>
          </w:tcPr>
          <w:p w14:paraId="47C16C69" w14:textId="77777777" w:rsidR="00E37BB4" w:rsidRPr="00BC5BEA" w:rsidRDefault="00E37BB4" w:rsidP="00F75257">
            <w:pPr>
              <w:jc w:val="center"/>
              <w:rPr>
                <w:rFonts w:ascii="Times New Roman" w:eastAsia="MS Mincho" w:hAnsi="Times New Roman" w:cs="Times New Roman"/>
                <w:sz w:val="18"/>
                <w:szCs w:val="18"/>
              </w:rPr>
            </w:pPr>
            <w:r>
              <w:rPr>
                <w:rFonts w:ascii="Times New Roman" w:hAnsi="Times New Roman"/>
                <w:sz w:val="18"/>
              </w:rPr>
              <w:t>Bagatell</w:t>
            </w:r>
            <w:r w:rsidR="008803BC">
              <w:rPr>
                <w:rFonts w:ascii="Times New Roman" w:hAnsi="Times New Roman"/>
                <w:sz w:val="18"/>
              </w:rPr>
              <w:t>-</w:t>
            </w:r>
            <w:r>
              <w:rPr>
                <w:rFonts w:ascii="Times New Roman" w:hAnsi="Times New Roman"/>
                <w:sz w:val="18"/>
              </w:rPr>
              <w:t>verfahren</w:t>
            </w:r>
          </w:p>
        </w:tc>
        <w:tc>
          <w:tcPr>
            <w:tcW w:w="1356" w:type="dxa"/>
          </w:tcPr>
          <w:p w14:paraId="6268D86D" w14:textId="77777777" w:rsidR="00E37BB4" w:rsidRPr="00BC5BEA" w:rsidRDefault="00E37BB4" w:rsidP="00F75257">
            <w:pPr>
              <w:jc w:val="center"/>
              <w:rPr>
                <w:rFonts w:ascii="Times New Roman" w:eastAsia="MS Mincho" w:hAnsi="Times New Roman" w:cs="Times New Roman"/>
                <w:sz w:val="18"/>
                <w:szCs w:val="18"/>
              </w:rPr>
            </w:pPr>
            <w:r>
              <w:rPr>
                <w:rFonts w:ascii="Times New Roman" w:hAnsi="Times New Roman"/>
                <w:sz w:val="18"/>
              </w:rPr>
              <w:t>Schnell</w:t>
            </w:r>
            <w:r w:rsidR="008803BC">
              <w:rPr>
                <w:rFonts w:ascii="Times New Roman" w:hAnsi="Times New Roman"/>
                <w:sz w:val="18"/>
              </w:rPr>
              <w:t>-</w:t>
            </w:r>
            <w:r>
              <w:rPr>
                <w:rFonts w:ascii="Times New Roman" w:hAnsi="Times New Roman"/>
                <w:sz w:val="18"/>
              </w:rPr>
              <w:t>verfahren</w:t>
            </w:r>
          </w:p>
        </w:tc>
        <w:tc>
          <w:tcPr>
            <w:tcW w:w="1541" w:type="dxa"/>
          </w:tcPr>
          <w:p w14:paraId="6B43B718" w14:textId="77777777" w:rsidR="00E37BB4" w:rsidRPr="00BC5BEA" w:rsidRDefault="00E37BB4" w:rsidP="00F75257">
            <w:pPr>
              <w:jc w:val="center"/>
              <w:rPr>
                <w:rFonts w:ascii="Times New Roman" w:eastAsia="MS Mincho" w:hAnsi="Times New Roman" w:cs="Times New Roman"/>
                <w:sz w:val="18"/>
                <w:szCs w:val="18"/>
              </w:rPr>
            </w:pPr>
            <w:r>
              <w:rPr>
                <w:rFonts w:ascii="Times New Roman" w:hAnsi="Times New Roman"/>
                <w:sz w:val="18"/>
              </w:rPr>
              <w:t>Mehrfach</w:t>
            </w:r>
            <w:r w:rsidR="008803BC">
              <w:rPr>
                <w:rFonts w:ascii="Times New Roman" w:hAnsi="Times New Roman"/>
                <w:sz w:val="18"/>
              </w:rPr>
              <w:t>-</w:t>
            </w:r>
            <w:r>
              <w:rPr>
                <w:rFonts w:ascii="Times New Roman" w:hAnsi="Times New Roman"/>
                <w:sz w:val="18"/>
              </w:rPr>
              <w:t>ansprüche</w:t>
            </w:r>
          </w:p>
        </w:tc>
        <w:tc>
          <w:tcPr>
            <w:tcW w:w="1413" w:type="dxa"/>
          </w:tcPr>
          <w:p w14:paraId="1FD40A55" w14:textId="77777777" w:rsidR="00E37BB4" w:rsidRPr="00E37BB4" w:rsidRDefault="00E37BB4" w:rsidP="00F75257">
            <w:pPr>
              <w:jc w:val="center"/>
              <w:rPr>
                <w:rFonts w:ascii="Times New Roman" w:hAnsi="Times New Roman" w:cs="Times New Roman"/>
                <w:sz w:val="18"/>
                <w:szCs w:val="18"/>
              </w:rPr>
            </w:pPr>
            <w:r>
              <w:rPr>
                <w:rFonts w:ascii="Times New Roman" w:hAnsi="Times New Roman"/>
                <w:b/>
                <w:sz w:val="18"/>
              </w:rPr>
              <w:t>Gesamtzahl der Anhörungen und Verhand</w:t>
            </w:r>
            <w:r w:rsidR="008803BC">
              <w:rPr>
                <w:rFonts w:ascii="Times New Roman" w:hAnsi="Times New Roman"/>
                <w:b/>
                <w:sz w:val="18"/>
              </w:rPr>
              <w:t>-</w:t>
            </w:r>
            <w:r>
              <w:rPr>
                <w:rFonts w:ascii="Times New Roman" w:hAnsi="Times New Roman"/>
                <w:b/>
                <w:sz w:val="18"/>
              </w:rPr>
              <w:t>lungen</w:t>
            </w:r>
            <w:r>
              <w:rPr>
                <w:rFonts w:ascii="Times New Roman" w:hAnsi="Times New Roman"/>
                <w:sz w:val="18"/>
              </w:rPr>
              <w:t>*</w:t>
            </w:r>
          </w:p>
        </w:tc>
        <w:tc>
          <w:tcPr>
            <w:tcW w:w="1495" w:type="dxa"/>
          </w:tcPr>
          <w:p w14:paraId="249D2709"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Anhörungen bei Bagatell</w:t>
            </w:r>
            <w:r w:rsidR="008803BC">
              <w:rPr>
                <w:rFonts w:ascii="Times New Roman" w:hAnsi="Times New Roman"/>
                <w:sz w:val="18"/>
              </w:rPr>
              <w:t>-</w:t>
            </w:r>
            <w:r>
              <w:rPr>
                <w:rFonts w:ascii="Times New Roman" w:hAnsi="Times New Roman"/>
                <w:sz w:val="18"/>
              </w:rPr>
              <w:t>verfahren*</w:t>
            </w:r>
          </w:p>
        </w:tc>
        <w:tc>
          <w:tcPr>
            <w:tcW w:w="1708" w:type="dxa"/>
          </w:tcPr>
          <w:p w14:paraId="3BEF5B09" w14:textId="77777777" w:rsidR="00E37BB4" w:rsidRPr="00741A41" w:rsidRDefault="00E37BB4" w:rsidP="00D509B4">
            <w:pPr>
              <w:jc w:val="center"/>
              <w:rPr>
                <w:rFonts w:ascii="Times New Roman" w:hAnsi="Times New Roman" w:cs="Times New Roman"/>
                <w:sz w:val="18"/>
                <w:szCs w:val="18"/>
              </w:rPr>
            </w:pPr>
            <w:r>
              <w:rPr>
                <w:rFonts w:ascii="Times New Roman" w:hAnsi="Times New Roman"/>
                <w:sz w:val="18"/>
              </w:rPr>
              <w:t>Anhörungen bei Eilverfahren und Mehrfach</w:t>
            </w:r>
            <w:r w:rsidR="008803BC">
              <w:rPr>
                <w:rFonts w:ascii="Times New Roman" w:hAnsi="Times New Roman"/>
                <w:sz w:val="18"/>
              </w:rPr>
              <w:t>-</w:t>
            </w:r>
            <w:r>
              <w:rPr>
                <w:rFonts w:ascii="Times New Roman" w:hAnsi="Times New Roman"/>
                <w:sz w:val="18"/>
              </w:rPr>
              <w:t>ansprüchen*</w:t>
            </w:r>
          </w:p>
        </w:tc>
      </w:tr>
      <w:tr w:rsidR="00E37BB4" w:rsidRPr="00735D83" w14:paraId="56D4C6AC" w14:textId="77777777" w:rsidTr="008803BC">
        <w:trPr>
          <w:trHeight w:val="222"/>
        </w:trPr>
        <w:tc>
          <w:tcPr>
            <w:tcW w:w="959" w:type="dxa"/>
          </w:tcPr>
          <w:p w14:paraId="36DD2758"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2000</w:t>
            </w:r>
          </w:p>
        </w:tc>
        <w:tc>
          <w:tcPr>
            <w:tcW w:w="1549" w:type="dxa"/>
          </w:tcPr>
          <w:p w14:paraId="5D3B19D5"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1.943.513</w:t>
            </w:r>
          </w:p>
        </w:tc>
        <w:tc>
          <w:tcPr>
            <w:tcW w:w="1002" w:type="dxa"/>
          </w:tcPr>
          <w:p w14:paraId="3F5AE96E" w14:textId="77777777" w:rsidR="00E37BB4" w:rsidRPr="00BC454C" w:rsidRDefault="00E37BB4" w:rsidP="00F75257">
            <w:pPr>
              <w:jc w:val="center"/>
              <w:rPr>
                <w:rFonts w:ascii="Times New Roman" w:eastAsia="MS Mincho" w:hAnsi="Times New Roman" w:cs="Times New Roman"/>
                <w:sz w:val="18"/>
                <w:szCs w:val="18"/>
              </w:rPr>
            </w:pPr>
            <w:r>
              <w:rPr>
                <w:rFonts w:ascii="Times New Roman" w:hAnsi="Times New Roman"/>
                <w:sz w:val="18"/>
              </w:rPr>
              <w:t>248.167</w:t>
            </w:r>
          </w:p>
        </w:tc>
        <w:tc>
          <w:tcPr>
            <w:tcW w:w="1985" w:type="dxa"/>
          </w:tcPr>
          <w:p w14:paraId="1DB9EDC4" w14:textId="77777777" w:rsidR="00E37BB4" w:rsidRPr="006574AF" w:rsidRDefault="00E37BB4" w:rsidP="006574AF">
            <w:pPr>
              <w:jc w:val="center"/>
              <w:rPr>
                <w:rFonts w:ascii="Times New Roman" w:eastAsia="MS Mincho" w:hAnsi="Times New Roman" w:cs="Times New Roman"/>
                <w:sz w:val="18"/>
                <w:szCs w:val="18"/>
              </w:rPr>
            </w:pPr>
            <w:r>
              <w:rPr>
                <w:rFonts w:ascii="Times New Roman" w:hAnsi="Times New Roman"/>
                <w:sz w:val="18"/>
              </w:rPr>
              <w:t>152.641</w:t>
            </w:r>
          </w:p>
        </w:tc>
        <w:tc>
          <w:tcPr>
            <w:tcW w:w="1166" w:type="dxa"/>
          </w:tcPr>
          <w:p w14:paraId="00E332A7" w14:textId="77777777" w:rsidR="00E37BB4" w:rsidRPr="00741A41" w:rsidRDefault="00E37BB4" w:rsidP="00F75257">
            <w:pPr>
              <w:jc w:val="center"/>
              <w:rPr>
                <w:rFonts w:ascii="Times New Roman" w:hAnsi="Times New Roman" w:cs="Times New Roman"/>
                <w:sz w:val="18"/>
                <w:szCs w:val="18"/>
              </w:rPr>
            </w:pPr>
          </w:p>
        </w:tc>
        <w:tc>
          <w:tcPr>
            <w:tcW w:w="1356" w:type="dxa"/>
          </w:tcPr>
          <w:p w14:paraId="271AD7DB" w14:textId="77777777" w:rsidR="00E37BB4" w:rsidRPr="00741A41" w:rsidRDefault="00E37BB4" w:rsidP="00F75257">
            <w:pPr>
              <w:jc w:val="center"/>
              <w:rPr>
                <w:rFonts w:ascii="Times New Roman" w:hAnsi="Times New Roman" w:cs="Times New Roman"/>
                <w:sz w:val="18"/>
                <w:szCs w:val="18"/>
              </w:rPr>
            </w:pPr>
          </w:p>
        </w:tc>
        <w:tc>
          <w:tcPr>
            <w:tcW w:w="1541" w:type="dxa"/>
          </w:tcPr>
          <w:p w14:paraId="4BD7C653" w14:textId="77777777" w:rsidR="00E37BB4" w:rsidRPr="00741A41" w:rsidRDefault="00E37BB4" w:rsidP="00F75257">
            <w:pPr>
              <w:jc w:val="center"/>
              <w:rPr>
                <w:rFonts w:ascii="Times New Roman" w:hAnsi="Times New Roman" w:cs="Times New Roman"/>
                <w:sz w:val="18"/>
                <w:szCs w:val="18"/>
              </w:rPr>
            </w:pPr>
          </w:p>
        </w:tc>
        <w:tc>
          <w:tcPr>
            <w:tcW w:w="1413" w:type="dxa"/>
          </w:tcPr>
          <w:p w14:paraId="2FE0345C"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71.233</w:t>
            </w:r>
          </w:p>
        </w:tc>
        <w:tc>
          <w:tcPr>
            <w:tcW w:w="1495" w:type="dxa"/>
          </w:tcPr>
          <w:p w14:paraId="47457341"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55.836</w:t>
            </w:r>
          </w:p>
        </w:tc>
        <w:tc>
          <w:tcPr>
            <w:tcW w:w="1708" w:type="dxa"/>
          </w:tcPr>
          <w:p w14:paraId="4E63698B"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15.397</w:t>
            </w:r>
          </w:p>
        </w:tc>
      </w:tr>
      <w:tr w:rsidR="00E37BB4" w:rsidRPr="00735D83" w14:paraId="723E7229" w14:textId="77777777" w:rsidTr="008803BC">
        <w:trPr>
          <w:trHeight w:val="206"/>
        </w:trPr>
        <w:tc>
          <w:tcPr>
            <w:tcW w:w="959" w:type="dxa"/>
          </w:tcPr>
          <w:p w14:paraId="3BD691C5"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2001</w:t>
            </w:r>
          </w:p>
        </w:tc>
        <w:tc>
          <w:tcPr>
            <w:tcW w:w="1549" w:type="dxa"/>
          </w:tcPr>
          <w:p w14:paraId="31A311E0"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1.805.637</w:t>
            </w:r>
          </w:p>
        </w:tc>
        <w:tc>
          <w:tcPr>
            <w:tcW w:w="1002" w:type="dxa"/>
          </w:tcPr>
          <w:p w14:paraId="57F19A03" w14:textId="77777777" w:rsidR="00E37BB4" w:rsidRPr="00BC454C" w:rsidRDefault="00E37BB4" w:rsidP="00F75257">
            <w:pPr>
              <w:jc w:val="center"/>
              <w:rPr>
                <w:rFonts w:ascii="Times New Roman" w:eastAsia="MS Mincho" w:hAnsi="Times New Roman" w:cs="Times New Roman"/>
                <w:sz w:val="18"/>
                <w:szCs w:val="18"/>
              </w:rPr>
            </w:pPr>
            <w:r>
              <w:rPr>
                <w:rFonts w:ascii="Times New Roman" w:hAnsi="Times New Roman"/>
                <w:sz w:val="18"/>
              </w:rPr>
              <w:t>252.176</w:t>
            </w:r>
          </w:p>
        </w:tc>
        <w:tc>
          <w:tcPr>
            <w:tcW w:w="1985" w:type="dxa"/>
          </w:tcPr>
          <w:p w14:paraId="6AAE448C" w14:textId="77777777" w:rsidR="00E37BB4" w:rsidRPr="006574AF" w:rsidRDefault="00E37BB4" w:rsidP="006574AF">
            <w:pPr>
              <w:jc w:val="center"/>
              <w:rPr>
                <w:rFonts w:ascii="Times New Roman" w:eastAsia="MS Mincho" w:hAnsi="Times New Roman" w:cs="Times New Roman"/>
                <w:sz w:val="18"/>
                <w:szCs w:val="18"/>
              </w:rPr>
            </w:pPr>
            <w:r>
              <w:rPr>
                <w:rFonts w:ascii="Times New Roman" w:hAnsi="Times New Roman"/>
                <w:sz w:val="18"/>
              </w:rPr>
              <w:t>143.486</w:t>
            </w:r>
          </w:p>
        </w:tc>
        <w:tc>
          <w:tcPr>
            <w:tcW w:w="1166" w:type="dxa"/>
          </w:tcPr>
          <w:p w14:paraId="3A88986F" w14:textId="77777777" w:rsidR="00E37BB4" w:rsidRPr="00741A41" w:rsidRDefault="00E37BB4" w:rsidP="00F75257">
            <w:pPr>
              <w:jc w:val="center"/>
              <w:rPr>
                <w:rFonts w:ascii="Times New Roman" w:hAnsi="Times New Roman" w:cs="Times New Roman"/>
                <w:sz w:val="18"/>
                <w:szCs w:val="18"/>
              </w:rPr>
            </w:pPr>
          </w:p>
        </w:tc>
        <w:tc>
          <w:tcPr>
            <w:tcW w:w="1356" w:type="dxa"/>
          </w:tcPr>
          <w:p w14:paraId="254CB18B" w14:textId="77777777" w:rsidR="00E37BB4" w:rsidRPr="00741A41" w:rsidRDefault="00E37BB4" w:rsidP="00F75257">
            <w:pPr>
              <w:jc w:val="center"/>
              <w:rPr>
                <w:rFonts w:ascii="Times New Roman" w:hAnsi="Times New Roman" w:cs="Times New Roman"/>
                <w:sz w:val="18"/>
                <w:szCs w:val="18"/>
              </w:rPr>
            </w:pPr>
          </w:p>
        </w:tc>
        <w:tc>
          <w:tcPr>
            <w:tcW w:w="1541" w:type="dxa"/>
          </w:tcPr>
          <w:p w14:paraId="0A43E576" w14:textId="77777777" w:rsidR="00E37BB4" w:rsidRPr="00741A41" w:rsidRDefault="00E37BB4" w:rsidP="00F75257">
            <w:pPr>
              <w:jc w:val="center"/>
              <w:rPr>
                <w:rFonts w:ascii="Times New Roman" w:hAnsi="Times New Roman" w:cs="Times New Roman"/>
                <w:sz w:val="18"/>
                <w:szCs w:val="18"/>
              </w:rPr>
            </w:pPr>
          </w:p>
        </w:tc>
        <w:tc>
          <w:tcPr>
            <w:tcW w:w="1413" w:type="dxa"/>
          </w:tcPr>
          <w:p w14:paraId="69C689AD"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71.763</w:t>
            </w:r>
          </w:p>
        </w:tc>
        <w:tc>
          <w:tcPr>
            <w:tcW w:w="1495" w:type="dxa"/>
          </w:tcPr>
          <w:p w14:paraId="009C9954"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58.333</w:t>
            </w:r>
          </w:p>
        </w:tc>
        <w:tc>
          <w:tcPr>
            <w:tcW w:w="1708" w:type="dxa"/>
          </w:tcPr>
          <w:p w14:paraId="12B2D913"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13.430</w:t>
            </w:r>
          </w:p>
        </w:tc>
      </w:tr>
      <w:tr w:rsidR="00E37BB4" w:rsidRPr="00735D83" w14:paraId="2E2BF51F" w14:textId="77777777" w:rsidTr="008803BC">
        <w:trPr>
          <w:trHeight w:val="222"/>
        </w:trPr>
        <w:tc>
          <w:tcPr>
            <w:tcW w:w="959" w:type="dxa"/>
          </w:tcPr>
          <w:p w14:paraId="60AE8671"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2002</w:t>
            </w:r>
          </w:p>
        </w:tc>
        <w:tc>
          <w:tcPr>
            <w:tcW w:w="1549" w:type="dxa"/>
          </w:tcPr>
          <w:p w14:paraId="226882BB"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1.743.339</w:t>
            </w:r>
          </w:p>
        </w:tc>
        <w:tc>
          <w:tcPr>
            <w:tcW w:w="1002" w:type="dxa"/>
          </w:tcPr>
          <w:p w14:paraId="1E6C0612" w14:textId="77777777" w:rsidR="00E37BB4" w:rsidRPr="00BC454C" w:rsidRDefault="00E37BB4" w:rsidP="00F75257">
            <w:pPr>
              <w:jc w:val="center"/>
              <w:rPr>
                <w:rFonts w:ascii="Times New Roman" w:eastAsia="MS Mincho" w:hAnsi="Times New Roman" w:cs="Times New Roman"/>
                <w:sz w:val="18"/>
                <w:szCs w:val="18"/>
              </w:rPr>
            </w:pPr>
            <w:r>
              <w:rPr>
                <w:rFonts w:ascii="Times New Roman" w:hAnsi="Times New Roman"/>
                <w:sz w:val="18"/>
              </w:rPr>
              <w:t>263.384</w:t>
            </w:r>
          </w:p>
        </w:tc>
        <w:tc>
          <w:tcPr>
            <w:tcW w:w="1985" w:type="dxa"/>
          </w:tcPr>
          <w:p w14:paraId="3131949E" w14:textId="77777777" w:rsidR="00E37BB4" w:rsidRPr="006574AF" w:rsidRDefault="00E37BB4" w:rsidP="006574AF">
            <w:pPr>
              <w:jc w:val="center"/>
              <w:rPr>
                <w:rFonts w:ascii="Times New Roman" w:eastAsia="MS Mincho" w:hAnsi="Times New Roman" w:cs="Times New Roman"/>
                <w:sz w:val="18"/>
                <w:szCs w:val="18"/>
              </w:rPr>
            </w:pPr>
            <w:r>
              <w:rPr>
                <w:rFonts w:ascii="Times New Roman" w:hAnsi="Times New Roman"/>
                <w:sz w:val="18"/>
              </w:rPr>
              <w:t>140.721</w:t>
            </w:r>
          </w:p>
        </w:tc>
        <w:tc>
          <w:tcPr>
            <w:tcW w:w="1166" w:type="dxa"/>
          </w:tcPr>
          <w:p w14:paraId="561F2E17" w14:textId="77777777" w:rsidR="00E37BB4" w:rsidRPr="00741A41" w:rsidRDefault="00E37BB4" w:rsidP="00F75257">
            <w:pPr>
              <w:jc w:val="center"/>
              <w:rPr>
                <w:rFonts w:ascii="Times New Roman" w:hAnsi="Times New Roman" w:cs="Times New Roman"/>
                <w:sz w:val="18"/>
                <w:szCs w:val="18"/>
              </w:rPr>
            </w:pPr>
          </w:p>
        </w:tc>
        <w:tc>
          <w:tcPr>
            <w:tcW w:w="1356" w:type="dxa"/>
          </w:tcPr>
          <w:p w14:paraId="05380725" w14:textId="77777777" w:rsidR="00E37BB4" w:rsidRPr="00741A41" w:rsidRDefault="00E37BB4" w:rsidP="00F75257">
            <w:pPr>
              <w:jc w:val="center"/>
              <w:rPr>
                <w:rFonts w:ascii="Times New Roman" w:hAnsi="Times New Roman" w:cs="Times New Roman"/>
                <w:sz w:val="18"/>
                <w:szCs w:val="18"/>
              </w:rPr>
            </w:pPr>
          </w:p>
        </w:tc>
        <w:tc>
          <w:tcPr>
            <w:tcW w:w="1541" w:type="dxa"/>
          </w:tcPr>
          <w:p w14:paraId="5176C14D" w14:textId="77777777" w:rsidR="00E37BB4" w:rsidRPr="00741A41" w:rsidRDefault="00E37BB4" w:rsidP="00F75257">
            <w:pPr>
              <w:jc w:val="center"/>
              <w:rPr>
                <w:rFonts w:ascii="Times New Roman" w:hAnsi="Times New Roman" w:cs="Times New Roman"/>
                <w:sz w:val="18"/>
                <w:szCs w:val="18"/>
              </w:rPr>
            </w:pPr>
          </w:p>
        </w:tc>
        <w:tc>
          <w:tcPr>
            <w:tcW w:w="1413" w:type="dxa"/>
          </w:tcPr>
          <w:p w14:paraId="53E27CEA"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68.901</w:t>
            </w:r>
          </w:p>
        </w:tc>
        <w:tc>
          <w:tcPr>
            <w:tcW w:w="1495" w:type="dxa"/>
          </w:tcPr>
          <w:p w14:paraId="32DF03F6"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55.719</w:t>
            </w:r>
          </w:p>
        </w:tc>
        <w:tc>
          <w:tcPr>
            <w:tcW w:w="1708" w:type="dxa"/>
          </w:tcPr>
          <w:p w14:paraId="30A7BDE0"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13.182</w:t>
            </w:r>
          </w:p>
        </w:tc>
      </w:tr>
      <w:tr w:rsidR="00E37BB4" w:rsidRPr="00735D83" w14:paraId="1D25D1A3" w14:textId="77777777" w:rsidTr="008803BC">
        <w:trPr>
          <w:trHeight w:val="206"/>
        </w:trPr>
        <w:tc>
          <w:tcPr>
            <w:tcW w:w="959" w:type="dxa"/>
          </w:tcPr>
          <w:p w14:paraId="67676952"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2003</w:t>
            </w:r>
          </w:p>
        </w:tc>
        <w:tc>
          <w:tcPr>
            <w:tcW w:w="1549" w:type="dxa"/>
          </w:tcPr>
          <w:p w14:paraId="05405E70"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1.718.883</w:t>
            </w:r>
          </w:p>
        </w:tc>
        <w:tc>
          <w:tcPr>
            <w:tcW w:w="1002" w:type="dxa"/>
          </w:tcPr>
          <w:p w14:paraId="11739488" w14:textId="77777777" w:rsidR="00E37BB4" w:rsidRPr="00BC454C" w:rsidRDefault="00E37BB4" w:rsidP="00BC454C">
            <w:pPr>
              <w:jc w:val="center"/>
              <w:rPr>
                <w:rFonts w:ascii="Times New Roman" w:eastAsia="MS Mincho" w:hAnsi="Times New Roman" w:cs="Times New Roman"/>
                <w:sz w:val="18"/>
                <w:szCs w:val="18"/>
              </w:rPr>
            </w:pPr>
            <w:r>
              <w:rPr>
                <w:rFonts w:ascii="Times New Roman" w:hAnsi="Times New Roman"/>
                <w:sz w:val="18"/>
              </w:rPr>
              <w:t>264.379</w:t>
            </w:r>
          </w:p>
        </w:tc>
        <w:tc>
          <w:tcPr>
            <w:tcW w:w="1985" w:type="dxa"/>
          </w:tcPr>
          <w:p w14:paraId="1A15CE78" w14:textId="77777777" w:rsidR="00E37BB4" w:rsidRPr="006574AF" w:rsidRDefault="00E37BB4" w:rsidP="006574AF">
            <w:pPr>
              <w:jc w:val="center"/>
              <w:rPr>
                <w:rFonts w:ascii="Times New Roman" w:eastAsia="MS Mincho" w:hAnsi="Times New Roman" w:cs="Times New Roman"/>
                <w:sz w:val="18"/>
                <w:szCs w:val="18"/>
              </w:rPr>
            </w:pPr>
            <w:r>
              <w:rPr>
                <w:rFonts w:ascii="Times New Roman" w:hAnsi="Times New Roman"/>
                <w:sz w:val="18"/>
              </w:rPr>
              <w:t>154.705</w:t>
            </w:r>
          </w:p>
        </w:tc>
        <w:tc>
          <w:tcPr>
            <w:tcW w:w="1166" w:type="dxa"/>
          </w:tcPr>
          <w:p w14:paraId="519E99C0" w14:textId="77777777" w:rsidR="00E37BB4" w:rsidRPr="00741A41" w:rsidRDefault="00E37BB4" w:rsidP="00F75257">
            <w:pPr>
              <w:jc w:val="center"/>
              <w:rPr>
                <w:rFonts w:ascii="Times New Roman" w:hAnsi="Times New Roman" w:cs="Times New Roman"/>
                <w:sz w:val="18"/>
                <w:szCs w:val="18"/>
              </w:rPr>
            </w:pPr>
          </w:p>
        </w:tc>
        <w:tc>
          <w:tcPr>
            <w:tcW w:w="1356" w:type="dxa"/>
          </w:tcPr>
          <w:p w14:paraId="4C7D3184" w14:textId="77777777" w:rsidR="00E37BB4" w:rsidRPr="00741A41" w:rsidRDefault="00E37BB4" w:rsidP="00F75257">
            <w:pPr>
              <w:jc w:val="center"/>
              <w:rPr>
                <w:rFonts w:ascii="Times New Roman" w:hAnsi="Times New Roman" w:cs="Times New Roman"/>
                <w:sz w:val="18"/>
                <w:szCs w:val="18"/>
              </w:rPr>
            </w:pPr>
          </w:p>
        </w:tc>
        <w:tc>
          <w:tcPr>
            <w:tcW w:w="1541" w:type="dxa"/>
          </w:tcPr>
          <w:p w14:paraId="79E17BD4" w14:textId="77777777" w:rsidR="00E37BB4" w:rsidRPr="00741A41" w:rsidRDefault="00E37BB4" w:rsidP="00F75257">
            <w:pPr>
              <w:jc w:val="center"/>
              <w:rPr>
                <w:rFonts w:ascii="Times New Roman" w:hAnsi="Times New Roman" w:cs="Times New Roman"/>
                <w:sz w:val="18"/>
                <w:szCs w:val="18"/>
              </w:rPr>
            </w:pPr>
          </w:p>
        </w:tc>
        <w:tc>
          <w:tcPr>
            <w:tcW w:w="1413" w:type="dxa"/>
          </w:tcPr>
          <w:p w14:paraId="5A585CEA"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65.026</w:t>
            </w:r>
          </w:p>
        </w:tc>
        <w:tc>
          <w:tcPr>
            <w:tcW w:w="1495" w:type="dxa"/>
          </w:tcPr>
          <w:p w14:paraId="0AF1623D"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51.046</w:t>
            </w:r>
          </w:p>
        </w:tc>
        <w:tc>
          <w:tcPr>
            <w:tcW w:w="1708" w:type="dxa"/>
          </w:tcPr>
          <w:p w14:paraId="695280D8"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13.980</w:t>
            </w:r>
          </w:p>
        </w:tc>
      </w:tr>
      <w:tr w:rsidR="00E37BB4" w:rsidRPr="00735D83" w14:paraId="6B30185F" w14:textId="77777777" w:rsidTr="008803BC">
        <w:trPr>
          <w:trHeight w:val="222"/>
        </w:trPr>
        <w:tc>
          <w:tcPr>
            <w:tcW w:w="959" w:type="dxa"/>
          </w:tcPr>
          <w:p w14:paraId="4EE814A9"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2004</w:t>
            </w:r>
          </w:p>
        </w:tc>
        <w:tc>
          <w:tcPr>
            <w:tcW w:w="1549" w:type="dxa"/>
          </w:tcPr>
          <w:p w14:paraId="386D64F2"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1.723.371</w:t>
            </w:r>
          </w:p>
        </w:tc>
        <w:tc>
          <w:tcPr>
            <w:tcW w:w="1002" w:type="dxa"/>
          </w:tcPr>
          <w:p w14:paraId="57C671AD" w14:textId="77777777" w:rsidR="00E37BB4" w:rsidRPr="00BC454C" w:rsidRDefault="00E37BB4" w:rsidP="008E4374">
            <w:pPr>
              <w:jc w:val="center"/>
              <w:rPr>
                <w:rFonts w:ascii="Times New Roman" w:eastAsia="MS Mincho" w:hAnsi="Times New Roman" w:cs="Times New Roman"/>
                <w:sz w:val="18"/>
                <w:szCs w:val="18"/>
              </w:rPr>
            </w:pPr>
            <w:r>
              <w:rPr>
                <w:rFonts w:ascii="Times New Roman" w:hAnsi="Times New Roman"/>
                <w:sz w:val="18"/>
              </w:rPr>
              <w:t>258.096</w:t>
            </w:r>
          </w:p>
        </w:tc>
        <w:tc>
          <w:tcPr>
            <w:tcW w:w="1985" w:type="dxa"/>
          </w:tcPr>
          <w:p w14:paraId="7303EAE9" w14:textId="77777777" w:rsidR="00E37BB4" w:rsidRPr="006574AF" w:rsidRDefault="00E37BB4" w:rsidP="006574AF">
            <w:pPr>
              <w:jc w:val="center"/>
              <w:rPr>
                <w:rFonts w:ascii="Times New Roman" w:eastAsia="MS Mincho" w:hAnsi="Times New Roman" w:cs="Times New Roman"/>
                <w:sz w:val="18"/>
                <w:szCs w:val="18"/>
              </w:rPr>
            </w:pPr>
            <w:r>
              <w:rPr>
                <w:rFonts w:ascii="Times New Roman" w:hAnsi="Times New Roman"/>
                <w:sz w:val="18"/>
              </w:rPr>
              <w:t>151.527</w:t>
            </w:r>
          </w:p>
        </w:tc>
        <w:tc>
          <w:tcPr>
            <w:tcW w:w="1166" w:type="dxa"/>
          </w:tcPr>
          <w:p w14:paraId="7857F084" w14:textId="77777777" w:rsidR="00E37BB4" w:rsidRPr="00741A41" w:rsidRDefault="00E37BB4" w:rsidP="00F75257">
            <w:pPr>
              <w:jc w:val="center"/>
              <w:rPr>
                <w:rFonts w:ascii="Times New Roman" w:hAnsi="Times New Roman" w:cs="Times New Roman"/>
                <w:sz w:val="18"/>
                <w:szCs w:val="18"/>
              </w:rPr>
            </w:pPr>
          </w:p>
        </w:tc>
        <w:tc>
          <w:tcPr>
            <w:tcW w:w="1356" w:type="dxa"/>
          </w:tcPr>
          <w:p w14:paraId="60B2EC2A" w14:textId="77777777" w:rsidR="00E37BB4" w:rsidRPr="00741A41" w:rsidRDefault="00E37BB4" w:rsidP="00F75257">
            <w:pPr>
              <w:jc w:val="center"/>
              <w:rPr>
                <w:rFonts w:ascii="Times New Roman" w:hAnsi="Times New Roman" w:cs="Times New Roman"/>
                <w:sz w:val="18"/>
                <w:szCs w:val="18"/>
              </w:rPr>
            </w:pPr>
          </w:p>
        </w:tc>
        <w:tc>
          <w:tcPr>
            <w:tcW w:w="1541" w:type="dxa"/>
          </w:tcPr>
          <w:p w14:paraId="4B1AFCF8" w14:textId="77777777" w:rsidR="00E37BB4" w:rsidRPr="00741A41" w:rsidRDefault="00E37BB4" w:rsidP="00F75257">
            <w:pPr>
              <w:jc w:val="center"/>
              <w:rPr>
                <w:rFonts w:ascii="Times New Roman" w:hAnsi="Times New Roman" w:cs="Times New Roman"/>
                <w:sz w:val="18"/>
                <w:szCs w:val="18"/>
              </w:rPr>
            </w:pPr>
          </w:p>
        </w:tc>
        <w:tc>
          <w:tcPr>
            <w:tcW w:w="1413" w:type="dxa"/>
          </w:tcPr>
          <w:p w14:paraId="65679DA5"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62.201</w:t>
            </w:r>
          </w:p>
        </w:tc>
        <w:tc>
          <w:tcPr>
            <w:tcW w:w="1495" w:type="dxa"/>
          </w:tcPr>
          <w:p w14:paraId="53179DD4"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46.604</w:t>
            </w:r>
          </w:p>
        </w:tc>
        <w:tc>
          <w:tcPr>
            <w:tcW w:w="1708" w:type="dxa"/>
          </w:tcPr>
          <w:p w14:paraId="4C0EB484"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15.597</w:t>
            </w:r>
          </w:p>
        </w:tc>
      </w:tr>
      <w:tr w:rsidR="00E37BB4" w:rsidRPr="00735D83" w14:paraId="249858BB" w14:textId="77777777" w:rsidTr="008803BC">
        <w:trPr>
          <w:trHeight w:val="206"/>
        </w:trPr>
        <w:tc>
          <w:tcPr>
            <w:tcW w:w="959" w:type="dxa"/>
          </w:tcPr>
          <w:p w14:paraId="2F23EE59"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2005</w:t>
            </w:r>
          </w:p>
        </w:tc>
        <w:tc>
          <w:tcPr>
            <w:tcW w:w="1549" w:type="dxa"/>
          </w:tcPr>
          <w:p w14:paraId="107B8D4C"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1.968.894</w:t>
            </w:r>
          </w:p>
        </w:tc>
        <w:tc>
          <w:tcPr>
            <w:tcW w:w="1002" w:type="dxa"/>
          </w:tcPr>
          <w:p w14:paraId="6EE86297" w14:textId="77777777" w:rsidR="00E37BB4" w:rsidRPr="00BC454C" w:rsidRDefault="00E37BB4" w:rsidP="008E4374">
            <w:pPr>
              <w:jc w:val="center"/>
              <w:rPr>
                <w:rFonts w:ascii="Times New Roman" w:eastAsia="MS Mincho" w:hAnsi="Times New Roman" w:cs="Times New Roman"/>
                <w:sz w:val="18"/>
                <w:szCs w:val="18"/>
              </w:rPr>
            </w:pPr>
            <w:r>
              <w:rPr>
                <w:rFonts w:ascii="Times New Roman" w:hAnsi="Times New Roman"/>
                <w:sz w:val="18"/>
              </w:rPr>
              <w:t>275.138</w:t>
            </w:r>
          </w:p>
        </w:tc>
        <w:tc>
          <w:tcPr>
            <w:tcW w:w="1985" w:type="dxa"/>
          </w:tcPr>
          <w:p w14:paraId="641B2DB8" w14:textId="77777777" w:rsidR="00E37BB4" w:rsidRPr="00BE768C" w:rsidRDefault="00E37BB4" w:rsidP="006574AF">
            <w:pPr>
              <w:jc w:val="center"/>
              <w:rPr>
                <w:rFonts w:ascii="Times New Roman" w:eastAsia="MS Mincho" w:hAnsi="Times New Roman" w:cs="Times New Roman"/>
                <w:sz w:val="18"/>
                <w:szCs w:val="18"/>
              </w:rPr>
            </w:pPr>
            <w:r>
              <w:rPr>
                <w:rFonts w:ascii="Times New Roman" w:hAnsi="Times New Roman"/>
                <w:sz w:val="18"/>
              </w:rPr>
              <w:t>153.328</w:t>
            </w:r>
          </w:p>
        </w:tc>
        <w:tc>
          <w:tcPr>
            <w:tcW w:w="1166" w:type="dxa"/>
          </w:tcPr>
          <w:p w14:paraId="01B5D738" w14:textId="77777777" w:rsidR="00E37BB4" w:rsidRPr="00BC5BEA" w:rsidRDefault="00E37BB4" w:rsidP="00F75257">
            <w:pPr>
              <w:jc w:val="center"/>
              <w:rPr>
                <w:rFonts w:ascii="Times New Roman" w:eastAsia="MS Mincho" w:hAnsi="Times New Roman" w:cs="Times New Roman"/>
                <w:i/>
                <w:sz w:val="18"/>
                <w:szCs w:val="18"/>
              </w:rPr>
            </w:pPr>
            <w:r>
              <w:rPr>
                <w:rFonts w:ascii="Times New Roman" w:hAnsi="Times New Roman"/>
                <w:i/>
                <w:sz w:val="18"/>
              </w:rPr>
              <w:t>77.687</w:t>
            </w:r>
          </w:p>
        </w:tc>
        <w:tc>
          <w:tcPr>
            <w:tcW w:w="1356" w:type="dxa"/>
          </w:tcPr>
          <w:p w14:paraId="380E3DFC" w14:textId="77777777" w:rsidR="00E37BB4" w:rsidRPr="00BC5BEA" w:rsidRDefault="00E37BB4" w:rsidP="00F75257">
            <w:pPr>
              <w:jc w:val="center"/>
              <w:rPr>
                <w:rFonts w:ascii="Times New Roman" w:eastAsia="MS Mincho" w:hAnsi="Times New Roman" w:cs="Times New Roman"/>
                <w:i/>
                <w:sz w:val="18"/>
                <w:szCs w:val="18"/>
              </w:rPr>
            </w:pPr>
            <w:r>
              <w:rPr>
                <w:rFonts w:ascii="Times New Roman" w:hAnsi="Times New Roman"/>
                <w:i/>
                <w:sz w:val="18"/>
              </w:rPr>
              <w:t>52.067</w:t>
            </w:r>
          </w:p>
        </w:tc>
        <w:tc>
          <w:tcPr>
            <w:tcW w:w="1541" w:type="dxa"/>
          </w:tcPr>
          <w:p w14:paraId="156CC0B2" w14:textId="77777777" w:rsidR="00E37BB4" w:rsidRPr="00BC5BEA" w:rsidRDefault="00E37BB4" w:rsidP="00F75257">
            <w:pPr>
              <w:jc w:val="center"/>
              <w:rPr>
                <w:rFonts w:ascii="Times New Roman" w:eastAsia="MS Mincho" w:hAnsi="Times New Roman" w:cs="Times New Roman"/>
                <w:i/>
                <w:sz w:val="18"/>
                <w:szCs w:val="18"/>
              </w:rPr>
            </w:pPr>
            <w:r>
              <w:rPr>
                <w:rFonts w:ascii="Times New Roman" w:hAnsi="Times New Roman"/>
                <w:i/>
                <w:sz w:val="18"/>
              </w:rPr>
              <w:t>29.890</w:t>
            </w:r>
          </w:p>
        </w:tc>
        <w:tc>
          <w:tcPr>
            <w:tcW w:w="1413" w:type="dxa"/>
          </w:tcPr>
          <w:p w14:paraId="08293679"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63.367</w:t>
            </w:r>
          </w:p>
        </w:tc>
        <w:tc>
          <w:tcPr>
            <w:tcW w:w="1495" w:type="dxa"/>
          </w:tcPr>
          <w:p w14:paraId="301B7036"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47.667</w:t>
            </w:r>
          </w:p>
        </w:tc>
        <w:tc>
          <w:tcPr>
            <w:tcW w:w="1708" w:type="dxa"/>
          </w:tcPr>
          <w:p w14:paraId="27ACA08F"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15.700</w:t>
            </w:r>
          </w:p>
        </w:tc>
      </w:tr>
      <w:tr w:rsidR="00E37BB4" w:rsidRPr="00735D83" w14:paraId="179C5BAF" w14:textId="77777777" w:rsidTr="008803BC">
        <w:trPr>
          <w:trHeight w:val="222"/>
        </w:trPr>
        <w:tc>
          <w:tcPr>
            <w:tcW w:w="959" w:type="dxa"/>
          </w:tcPr>
          <w:p w14:paraId="0390BC0E"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2006</w:t>
            </w:r>
          </w:p>
        </w:tc>
        <w:tc>
          <w:tcPr>
            <w:tcW w:w="1549" w:type="dxa"/>
          </w:tcPr>
          <w:p w14:paraId="628B0873"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2.115.491</w:t>
            </w:r>
          </w:p>
        </w:tc>
        <w:tc>
          <w:tcPr>
            <w:tcW w:w="1002" w:type="dxa"/>
          </w:tcPr>
          <w:p w14:paraId="0AD019CB" w14:textId="77777777" w:rsidR="00E37BB4" w:rsidRPr="00BC454C" w:rsidRDefault="00E37BB4" w:rsidP="008E4374">
            <w:pPr>
              <w:jc w:val="center"/>
              <w:rPr>
                <w:rFonts w:ascii="Times New Roman" w:eastAsia="Calibri" w:hAnsi="Times New Roman" w:cs="Times New Roman"/>
                <w:bCs/>
                <w:sz w:val="18"/>
                <w:szCs w:val="18"/>
              </w:rPr>
            </w:pPr>
            <w:r>
              <w:rPr>
                <w:rFonts w:ascii="Times New Roman" w:hAnsi="Times New Roman"/>
                <w:sz w:val="18"/>
              </w:rPr>
              <w:t>292.115</w:t>
            </w:r>
          </w:p>
        </w:tc>
        <w:tc>
          <w:tcPr>
            <w:tcW w:w="1985" w:type="dxa"/>
          </w:tcPr>
          <w:p w14:paraId="6C7A3771" w14:textId="77777777" w:rsidR="00E37BB4" w:rsidRPr="00BE768C" w:rsidRDefault="00E37BB4" w:rsidP="006574AF">
            <w:pPr>
              <w:jc w:val="center"/>
              <w:rPr>
                <w:rFonts w:ascii="Times New Roman" w:eastAsia="MS Mincho" w:hAnsi="Times New Roman" w:cs="Times New Roman"/>
                <w:sz w:val="18"/>
                <w:szCs w:val="18"/>
              </w:rPr>
            </w:pPr>
            <w:r>
              <w:rPr>
                <w:rFonts w:ascii="Times New Roman" w:hAnsi="Times New Roman"/>
                <w:sz w:val="18"/>
              </w:rPr>
              <w:t>155.149</w:t>
            </w:r>
          </w:p>
        </w:tc>
        <w:tc>
          <w:tcPr>
            <w:tcW w:w="1166" w:type="dxa"/>
          </w:tcPr>
          <w:p w14:paraId="27ADDAD2" w14:textId="77777777" w:rsidR="00E37BB4" w:rsidRPr="00BC5BEA" w:rsidRDefault="00E37BB4" w:rsidP="00F75257">
            <w:pPr>
              <w:jc w:val="center"/>
              <w:rPr>
                <w:rFonts w:ascii="Times New Roman" w:eastAsia="Calibri" w:hAnsi="Times New Roman" w:cs="Times New Roman"/>
                <w:i/>
                <w:sz w:val="18"/>
                <w:szCs w:val="18"/>
              </w:rPr>
            </w:pPr>
            <w:r>
              <w:rPr>
                <w:rFonts w:ascii="Times New Roman" w:hAnsi="Times New Roman"/>
                <w:i/>
                <w:sz w:val="18"/>
              </w:rPr>
              <w:t>78.000</w:t>
            </w:r>
          </w:p>
        </w:tc>
        <w:tc>
          <w:tcPr>
            <w:tcW w:w="1356" w:type="dxa"/>
          </w:tcPr>
          <w:p w14:paraId="53B06C00" w14:textId="77777777" w:rsidR="00E37BB4" w:rsidRPr="00BC5BEA" w:rsidRDefault="00E37BB4" w:rsidP="00F75257">
            <w:pPr>
              <w:jc w:val="center"/>
              <w:rPr>
                <w:rFonts w:ascii="Times New Roman" w:eastAsia="Calibri" w:hAnsi="Times New Roman" w:cs="Times New Roman"/>
                <w:i/>
                <w:sz w:val="18"/>
                <w:szCs w:val="18"/>
              </w:rPr>
            </w:pPr>
            <w:r>
              <w:rPr>
                <w:rFonts w:ascii="Times New Roman" w:hAnsi="Times New Roman"/>
                <w:i/>
                <w:sz w:val="18"/>
              </w:rPr>
              <w:t>51.000</w:t>
            </w:r>
          </w:p>
        </w:tc>
        <w:tc>
          <w:tcPr>
            <w:tcW w:w="1541" w:type="dxa"/>
          </w:tcPr>
          <w:p w14:paraId="322C214E" w14:textId="77777777" w:rsidR="00E37BB4" w:rsidRPr="00BC5BEA" w:rsidRDefault="00E37BB4" w:rsidP="00F75257">
            <w:pPr>
              <w:jc w:val="center"/>
              <w:rPr>
                <w:rFonts w:ascii="Times New Roman" w:eastAsia="Calibri" w:hAnsi="Times New Roman" w:cs="Times New Roman"/>
                <w:i/>
                <w:sz w:val="18"/>
                <w:szCs w:val="18"/>
              </w:rPr>
            </w:pPr>
            <w:r>
              <w:rPr>
                <w:rFonts w:ascii="Times New Roman" w:hAnsi="Times New Roman"/>
                <w:i/>
                <w:sz w:val="18"/>
              </w:rPr>
              <w:t>28.000</w:t>
            </w:r>
          </w:p>
        </w:tc>
        <w:tc>
          <w:tcPr>
            <w:tcW w:w="1413" w:type="dxa"/>
          </w:tcPr>
          <w:p w14:paraId="620676FD"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62.968</w:t>
            </w:r>
          </w:p>
        </w:tc>
        <w:tc>
          <w:tcPr>
            <w:tcW w:w="1495" w:type="dxa"/>
          </w:tcPr>
          <w:p w14:paraId="2D0FB6F5"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46.860</w:t>
            </w:r>
          </w:p>
        </w:tc>
        <w:tc>
          <w:tcPr>
            <w:tcW w:w="1708" w:type="dxa"/>
          </w:tcPr>
          <w:p w14:paraId="4EEA8FD2"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16.108</w:t>
            </w:r>
          </w:p>
        </w:tc>
      </w:tr>
      <w:tr w:rsidR="00E37BB4" w:rsidRPr="00735D83" w14:paraId="3297BF5B" w14:textId="77777777" w:rsidTr="008803BC">
        <w:trPr>
          <w:trHeight w:val="206"/>
        </w:trPr>
        <w:tc>
          <w:tcPr>
            <w:tcW w:w="959" w:type="dxa"/>
          </w:tcPr>
          <w:p w14:paraId="64760DBB"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2007</w:t>
            </w:r>
          </w:p>
        </w:tc>
        <w:tc>
          <w:tcPr>
            <w:tcW w:w="1549" w:type="dxa"/>
          </w:tcPr>
          <w:p w14:paraId="1FF9B1E0"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1.944.812</w:t>
            </w:r>
          </w:p>
        </w:tc>
        <w:tc>
          <w:tcPr>
            <w:tcW w:w="1002" w:type="dxa"/>
          </w:tcPr>
          <w:p w14:paraId="4929AA47" w14:textId="77777777" w:rsidR="00E37BB4" w:rsidRPr="00BC454C" w:rsidRDefault="00E37BB4" w:rsidP="00F75257">
            <w:pPr>
              <w:jc w:val="center"/>
              <w:rPr>
                <w:rFonts w:ascii="Times New Roman" w:eastAsia="MS Mincho" w:hAnsi="Times New Roman" w:cs="Times New Roman"/>
                <w:sz w:val="18"/>
                <w:szCs w:val="18"/>
              </w:rPr>
            </w:pPr>
            <w:r>
              <w:rPr>
                <w:rFonts w:ascii="Times New Roman" w:hAnsi="Times New Roman"/>
                <w:sz w:val="18"/>
              </w:rPr>
              <w:t>338.616</w:t>
            </w:r>
          </w:p>
        </w:tc>
        <w:tc>
          <w:tcPr>
            <w:tcW w:w="1985" w:type="dxa"/>
          </w:tcPr>
          <w:p w14:paraId="5E763FB5" w14:textId="77777777" w:rsidR="00E37BB4" w:rsidRPr="00BE768C" w:rsidRDefault="00E37BB4" w:rsidP="006574AF">
            <w:pPr>
              <w:jc w:val="center"/>
              <w:rPr>
                <w:rFonts w:ascii="Times New Roman" w:eastAsia="Calibri" w:hAnsi="Times New Roman" w:cs="Times New Roman"/>
                <w:sz w:val="18"/>
                <w:szCs w:val="18"/>
              </w:rPr>
            </w:pPr>
            <w:r>
              <w:rPr>
                <w:rFonts w:ascii="Times New Roman" w:hAnsi="Times New Roman"/>
                <w:sz w:val="18"/>
              </w:rPr>
              <w:t>173.751</w:t>
            </w:r>
          </w:p>
        </w:tc>
        <w:tc>
          <w:tcPr>
            <w:tcW w:w="1166" w:type="dxa"/>
          </w:tcPr>
          <w:p w14:paraId="7976DB64" w14:textId="77777777" w:rsidR="00E37BB4" w:rsidRPr="00BC5BEA" w:rsidRDefault="00E37BB4" w:rsidP="00F75257">
            <w:pPr>
              <w:jc w:val="center"/>
              <w:rPr>
                <w:rFonts w:ascii="Times New Roman" w:eastAsia="Calibri" w:hAnsi="Times New Roman" w:cs="Times New Roman"/>
                <w:i/>
                <w:sz w:val="18"/>
                <w:szCs w:val="18"/>
              </w:rPr>
            </w:pPr>
            <w:r>
              <w:rPr>
                <w:rFonts w:ascii="Times New Roman" w:hAnsi="Times New Roman"/>
                <w:i/>
                <w:sz w:val="18"/>
              </w:rPr>
              <w:t>98.000</w:t>
            </w:r>
          </w:p>
        </w:tc>
        <w:tc>
          <w:tcPr>
            <w:tcW w:w="1356" w:type="dxa"/>
          </w:tcPr>
          <w:p w14:paraId="5FCB86F5" w14:textId="77777777" w:rsidR="00E37BB4" w:rsidRPr="00BC5BEA" w:rsidRDefault="00E37BB4" w:rsidP="00F75257">
            <w:pPr>
              <w:jc w:val="center"/>
              <w:rPr>
                <w:rFonts w:ascii="Times New Roman" w:eastAsia="Calibri" w:hAnsi="Times New Roman" w:cs="Times New Roman"/>
                <w:i/>
                <w:sz w:val="18"/>
                <w:szCs w:val="18"/>
              </w:rPr>
            </w:pPr>
            <w:r>
              <w:rPr>
                <w:rFonts w:ascii="Times New Roman" w:hAnsi="Times New Roman"/>
                <w:i/>
                <w:sz w:val="18"/>
              </w:rPr>
              <w:t>52.000</w:t>
            </w:r>
          </w:p>
        </w:tc>
        <w:tc>
          <w:tcPr>
            <w:tcW w:w="1541" w:type="dxa"/>
          </w:tcPr>
          <w:p w14:paraId="1E055A1F" w14:textId="77777777" w:rsidR="00E37BB4" w:rsidRPr="00BC5BEA" w:rsidRDefault="00E37BB4" w:rsidP="00F75257">
            <w:pPr>
              <w:jc w:val="center"/>
              <w:rPr>
                <w:rFonts w:ascii="Times New Roman" w:eastAsia="Calibri" w:hAnsi="Times New Roman" w:cs="Times New Roman"/>
                <w:i/>
                <w:sz w:val="18"/>
                <w:szCs w:val="18"/>
              </w:rPr>
            </w:pPr>
            <w:r>
              <w:rPr>
                <w:rFonts w:ascii="Times New Roman" w:hAnsi="Times New Roman"/>
                <w:i/>
                <w:sz w:val="18"/>
              </w:rPr>
              <w:t>27.000</w:t>
            </w:r>
          </w:p>
        </w:tc>
        <w:tc>
          <w:tcPr>
            <w:tcW w:w="1413" w:type="dxa"/>
          </w:tcPr>
          <w:p w14:paraId="4E5F0711"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69.248</w:t>
            </w:r>
          </w:p>
        </w:tc>
        <w:tc>
          <w:tcPr>
            <w:tcW w:w="1495" w:type="dxa"/>
          </w:tcPr>
          <w:p w14:paraId="2E9EECAC"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53.248</w:t>
            </w:r>
          </w:p>
        </w:tc>
        <w:tc>
          <w:tcPr>
            <w:tcW w:w="1708" w:type="dxa"/>
          </w:tcPr>
          <w:p w14:paraId="21EA3FA1"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16.000</w:t>
            </w:r>
          </w:p>
        </w:tc>
      </w:tr>
      <w:tr w:rsidR="00E37BB4" w:rsidRPr="00735D83" w14:paraId="5D071CFA" w14:textId="77777777" w:rsidTr="008803BC">
        <w:trPr>
          <w:trHeight w:val="206"/>
        </w:trPr>
        <w:tc>
          <w:tcPr>
            <w:tcW w:w="959" w:type="dxa"/>
          </w:tcPr>
          <w:p w14:paraId="0294E4EC"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2008</w:t>
            </w:r>
          </w:p>
        </w:tc>
        <w:tc>
          <w:tcPr>
            <w:tcW w:w="1549" w:type="dxa"/>
          </w:tcPr>
          <w:p w14:paraId="251EE390"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1.993.828</w:t>
            </w:r>
          </w:p>
        </w:tc>
        <w:tc>
          <w:tcPr>
            <w:tcW w:w="1002" w:type="dxa"/>
          </w:tcPr>
          <w:p w14:paraId="2D0CDD23" w14:textId="77777777" w:rsidR="00E37BB4" w:rsidRPr="00BC454C" w:rsidRDefault="00E37BB4" w:rsidP="00F75257">
            <w:pPr>
              <w:jc w:val="center"/>
              <w:rPr>
                <w:rFonts w:ascii="Times New Roman" w:eastAsia="Calibri" w:hAnsi="Times New Roman" w:cs="Times New Roman"/>
                <w:sz w:val="18"/>
                <w:szCs w:val="18"/>
              </w:rPr>
            </w:pPr>
            <w:r>
              <w:rPr>
                <w:rFonts w:ascii="Times New Roman" w:hAnsi="Times New Roman"/>
                <w:sz w:val="18"/>
              </w:rPr>
              <w:t>298.796</w:t>
            </w:r>
          </w:p>
        </w:tc>
        <w:tc>
          <w:tcPr>
            <w:tcW w:w="1985" w:type="dxa"/>
          </w:tcPr>
          <w:p w14:paraId="618C5FAE" w14:textId="77777777" w:rsidR="00E37BB4" w:rsidRPr="00BE768C" w:rsidRDefault="00E37BB4" w:rsidP="00E37BB4">
            <w:pPr>
              <w:jc w:val="center"/>
              <w:rPr>
                <w:rFonts w:ascii="Times New Roman" w:eastAsia="Calibri" w:hAnsi="Times New Roman" w:cs="Times New Roman"/>
                <w:color w:val="1A171C"/>
                <w:sz w:val="18"/>
                <w:szCs w:val="18"/>
              </w:rPr>
            </w:pPr>
            <w:r>
              <w:rPr>
                <w:rFonts w:ascii="Times New Roman" w:hAnsi="Times New Roman"/>
                <w:color w:val="1A171C"/>
                <w:sz w:val="18"/>
              </w:rPr>
              <w:t>163.905</w:t>
            </w:r>
          </w:p>
        </w:tc>
        <w:tc>
          <w:tcPr>
            <w:tcW w:w="1166" w:type="dxa"/>
          </w:tcPr>
          <w:p w14:paraId="613F797D" w14:textId="77777777" w:rsidR="00E37BB4" w:rsidRPr="00BC5BEA" w:rsidRDefault="00E37BB4" w:rsidP="00F75257">
            <w:pPr>
              <w:jc w:val="center"/>
              <w:rPr>
                <w:rFonts w:ascii="Times New Roman" w:eastAsia="MS Mincho" w:hAnsi="Times New Roman" w:cs="Times New Roman"/>
                <w:i/>
                <w:sz w:val="18"/>
                <w:szCs w:val="18"/>
                <w:vertAlign w:val="superscript"/>
              </w:rPr>
            </w:pPr>
            <w:r>
              <w:rPr>
                <w:rFonts w:ascii="Times New Roman" w:hAnsi="Times New Roman"/>
                <w:i/>
                <w:color w:val="1A171C"/>
                <w:sz w:val="18"/>
              </w:rPr>
              <w:t>84.000</w:t>
            </w:r>
          </w:p>
        </w:tc>
        <w:tc>
          <w:tcPr>
            <w:tcW w:w="1356" w:type="dxa"/>
          </w:tcPr>
          <w:p w14:paraId="5B24A419" w14:textId="77777777" w:rsidR="00E37BB4" w:rsidRPr="00BC5BEA" w:rsidRDefault="00E37BB4" w:rsidP="00F75257">
            <w:pPr>
              <w:jc w:val="center"/>
              <w:rPr>
                <w:rFonts w:ascii="Times New Roman" w:eastAsia="MS Mincho" w:hAnsi="Times New Roman" w:cs="Times New Roman"/>
                <w:i/>
                <w:sz w:val="18"/>
                <w:szCs w:val="18"/>
                <w:vertAlign w:val="superscript"/>
              </w:rPr>
            </w:pPr>
            <w:r>
              <w:rPr>
                <w:rFonts w:ascii="Times New Roman" w:hAnsi="Times New Roman"/>
                <w:i/>
                <w:color w:val="1A171C"/>
                <w:sz w:val="18"/>
              </w:rPr>
              <w:t>53.000</w:t>
            </w:r>
          </w:p>
        </w:tc>
        <w:tc>
          <w:tcPr>
            <w:tcW w:w="1541" w:type="dxa"/>
          </w:tcPr>
          <w:p w14:paraId="27B83E4E" w14:textId="77777777" w:rsidR="00E37BB4" w:rsidRPr="00BC5BEA" w:rsidRDefault="00E37BB4" w:rsidP="00F75257">
            <w:pPr>
              <w:jc w:val="center"/>
              <w:rPr>
                <w:rFonts w:ascii="Times New Roman" w:eastAsia="MS Mincho" w:hAnsi="Times New Roman" w:cs="Times New Roman"/>
                <w:i/>
                <w:sz w:val="18"/>
                <w:szCs w:val="18"/>
                <w:vertAlign w:val="superscript"/>
              </w:rPr>
            </w:pPr>
            <w:r>
              <w:rPr>
                <w:rFonts w:ascii="Times New Roman" w:hAnsi="Times New Roman"/>
                <w:i/>
                <w:color w:val="1A171C"/>
                <w:sz w:val="18"/>
              </w:rPr>
              <w:t>27.000</w:t>
            </w:r>
          </w:p>
        </w:tc>
        <w:tc>
          <w:tcPr>
            <w:tcW w:w="1413" w:type="dxa"/>
          </w:tcPr>
          <w:p w14:paraId="623B0D67"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63.981</w:t>
            </w:r>
          </w:p>
        </w:tc>
        <w:tc>
          <w:tcPr>
            <w:tcW w:w="1495" w:type="dxa"/>
          </w:tcPr>
          <w:p w14:paraId="0E7E04CF"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46.519</w:t>
            </w:r>
          </w:p>
        </w:tc>
        <w:tc>
          <w:tcPr>
            <w:tcW w:w="1708" w:type="dxa"/>
          </w:tcPr>
          <w:p w14:paraId="138B2B41"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17.462</w:t>
            </w:r>
          </w:p>
        </w:tc>
      </w:tr>
      <w:tr w:rsidR="00E37BB4" w:rsidRPr="00735D83" w14:paraId="5DEBD3E9" w14:textId="77777777" w:rsidTr="008803BC">
        <w:trPr>
          <w:trHeight w:val="222"/>
        </w:trPr>
        <w:tc>
          <w:tcPr>
            <w:tcW w:w="959" w:type="dxa"/>
          </w:tcPr>
          <w:p w14:paraId="74EF7DC8"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2009</w:t>
            </w:r>
          </w:p>
        </w:tc>
        <w:tc>
          <w:tcPr>
            <w:tcW w:w="1549" w:type="dxa"/>
          </w:tcPr>
          <w:p w14:paraId="22B94F21"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1.803.221</w:t>
            </w:r>
          </w:p>
        </w:tc>
        <w:tc>
          <w:tcPr>
            <w:tcW w:w="1002" w:type="dxa"/>
          </w:tcPr>
          <w:p w14:paraId="3A1D6700" w14:textId="77777777" w:rsidR="00E37BB4" w:rsidRPr="00741A41" w:rsidRDefault="00E37BB4" w:rsidP="00F75257">
            <w:pPr>
              <w:jc w:val="center"/>
              <w:rPr>
                <w:rFonts w:ascii="Times New Roman" w:eastAsia="Calibri" w:hAnsi="Times New Roman" w:cs="Times New Roman"/>
                <w:sz w:val="18"/>
                <w:szCs w:val="18"/>
              </w:rPr>
            </w:pPr>
            <w:r>
              <w:rPr>
                <w:rFonts w:ascii="Times New Roman" w:hAnsi="Times New Roman"/>
                <w:sz w:val="18"/>
              </w:rPr>
              <w:t>315.963</w:t>
            </w:r>
          </w:p>
        </w:tc>
        <w:tc>
          <w:tcPr>
            <w:tcW w:w="1985" w:type="dxa"/>
          </w:tcPr>
          <w:p w14:paraId="150545D1" w14:textId="77777777" w:rsidR="00E37BB4" w:rsidRPr="00741A41" w:rsidRDefault="00E37BB4" w:rsidP="00E37BB4">
            <w:pPr>
              <w:jc w:val="center"/>
              <w:rPr>
                <w:rFonts w:ascii="Times New Roman" w:hAnsi="Times New Roman" w:cs="Times New Roman"/>
                <w:sz w:val="18"/>
                <w:szCs w:val="18"/>
              </w:rPr>
            </w:pPr>
            <w:r>
              <w:rPr>
                <w:rFonts w:ascii="Times New Roman" w:hAnsi="Times New Roman"/>
                <w:sz w:val="18"/>
              </w:rPr>
              <w:t>179.983</w:t>
            </w:r>
          </w:p>
        </w:tc>
        <w:tc>
          <w:tcPr>
            <w:tcW w:w="1166" w:type="dxa"/>
          </w:tcPr>
          <w:p w14:paraId="06541C1A" w14:textId="77777777" w:rsidR="00E37BB4" w:rsidRPr="00BC5BEA" w:rsidRDefault="00E37BB4" w:rsidP="00F75257">
            <w:pPr>
              <w:jc w:val="center"/>
              <w:rPr>
                <w:rFonts w:ascii="Times New Roman" w:eastAsia="Calibri" w:hAnsi="Times New Roman" w:cs="Times New Roman"/>
                <w:i/>
                <w:color w:val="1A171C"/>
                <w:sz w:val="18"/>
                <w:szCs w:val="18"/>
              </w:rPr>
            </w:pPr>
            <w:r>
              <w:rPr>
                <w:rFonts w:ascii="Times New Roman" w:hAnsi="Times New Roman"/>
                <w:i/>
                <w:color w:val="1A171C"/>
                <w:sz w:val="18"/>
              </w:rPr>
              <w:t>93.000</w:t>
            </w:r>
          </w:p>
        </w:tc>
        <w:tc>
          <w:tcPr>
            <w:tcW w:w="1356" w:type="dxa"/>
          </w:tcPr>
          <w:p w14:paraId="63C6B542" w14:textId="77777777" w:rsidR="00E37BB4" w:rsidRPr="00BC5BEA" w:rsidRDefault="00E37BB4" w:rsidP="00F75257">
            <w:pPr>
              <w:jc w:val="center"/>
              <w:rPr>
                <w:rFonts w:ascii="Times New Roman" w:eastAsia="Calibri" w:hAnsi="Times New Roman" w:cs="Times New Roman"/>
                <w:i/>
                <w:color w:val="1A171C"/>
                <w:sz w:val="18"/>
                <w:szCs w:val="18"/>
              </w:rPr>
            </w:pPr>
            <w:r>
              <w:rPr>
                <w:rFonts w:ascii="Times New Roman" w:hAnsi="Times New Roman"/>
                <w:i/>
                <w:color w:val="1A171C"/>
                <w:sz w:val="18"/>
              </w:rPr>
              <w:t>61.000</w:t>
            </w:r>
          </w:p>
        </w:tc>
        <w:tc>
          <w:tcPr>
            <w:tcW w:w="1541" w:type="dxa"/>
          </w:tcPr>
          <w:p w14:paraId="59249E6F" w14:textId="77777777" w:rsidR="00E37BB4" w:rsidRPr="00BC5BEA" w:rsidRDefault="00E37BB4" w:rsidP="00F75257">
            <w:pPr>
              <w:jc w:val="center"/>
              <w:rPr>
                <w:rFonts w:ascii="Times New Roman" w:eastAsia="Calibri" w:hAnsi="Times New Roman" w:cs="Times New Roman"/>
                <w:i/>
                <w:color w:val="1A171C"/>
                <w:sz w:val="18"/>
                <w:szCs w:val="18"/>
              </w:rPr>
            </w:pPr>
            <w:r>
              <w:rPr>
                <w:rFonts w:ascii="Times New Roman" w:hAnsi="Times New Roman"/>
                <w:i/>
                <w:color w:val="1A171C"/>
                <w:sz w:val="18"/>
              </w:rPr>
              <w:t>25.000</w:t>
            </w:r>
          </w:p>
        </w:tc>
        <w:tc>
          <w:tcPr>
            <w:tcW w:w="1413" w:type="dxa"/>
          </w:tcPr>
          <w:p w14:paraId="6CDEF305"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64.078</w:t>
            </w:r>
          </w:p>
        </w:tc>
        <w:tc>
          <w:tcPr>
            <w:tcW w:w="1495" w:type="dxa"/>
          </w:tcPr>
          <w:p w14:paraId="401DF9D5"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46.963</w:t>
            </w:r>
          </w:p>
        </w:tc>
        <w:tc>
          <w:tcPr>
            <w:tcW w:w="1708" w:type="dxa"/>
          </w:tcPr>
          <w:p w14:paraId="59063353"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17.115</w:t>
            </w:r>
          </w:p>
        </w:tc>
      </w:tr>
      <w:tr w:rsidR="00E37BB4" w:rsidRPr="00735D83" w14:paraId="5CECF937" w14:textId="77777777" w:rsidTr="008803BC">
        <w:trPr>
          <w:trHeight w:val="206"/>
        </w:trPr>
        <w:tc>
          <w:tcPr>
            <w:tcW w:w="959" w:type="dxa"/>
          </w:tcPr>
          <w:p w14:paraId="3B2D8CE7"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2010</w:t>
            </w:r>
          </w:p>
        </w:tc>
        <w:tc>
          <w:tcPr>
            <w:tcW w:w="1549" w:type="dxa"/>
          </w:tcPr>
          <w:p w14:paraId="5D834C0A" w14:textId="77777777" w:rsidR="00E37BB4" w:rsidRPr="00741A41" w:rsidRDefault="00E37BB4" w:rsidP="00657826">
            <w:pPr>
              <w:jc w:val="center"/>
              <w:rPr>
                <w:rFonts w:ascii="Times New Roman" w:hAnsi="Times New Roman" w:cs="Times New Roman"/>
                <w:sz w:val="18"/>
                <w:szCs w:val="18"/>
              </w:rPr>
            </w:pPr>
            <w:r>
              <w:rPr>
                <w:rFonts w:ascii="Times New Roman" w:hAnsi="Times New Roman"/>
                <w:sz w:val="18"/>
              </w:rPr>
              <w:t>1.550.626</w:t>
            </w:r>
          </w:p>
        </w:tc>
        <w:tc>
          <w:tcPr>
            <w:tcW w:w="1002" w:type="dxa"/>
          </w:tcPr>
          <w:p w14:paraId="1108F879" w14:textId="77777777" w:rsidR="00E37BB4" w:rsidRPr="00741A41" w:rsidRDefault="00E37BB4" w:rsidP="00F75257">
            <w:pPr>
              <w:jc w:val="center"/>
              <w:rPr>
                <w:rFonts w:ascii="Times New Roman" w:eastAsia="Calibri" w:hAnsi="Times New Roman" w:cs="Times New Roman"/>
                <w:sz w:val="18"/>
                <w:szCs w:val="18"/>
              </w:rPr>
            </w:pPr>
            <w:r>
              <w:rPr>
                <w:rFonts w:ascii="Times New Roman" w:hAnsi="Times New Roman"/>
                <w:sz w:val="18"/>
              </w:rPr>
              <w:t>290.889</w:t>
            </w:r>
          </w:p>
        </w:tc>
        <w:tc>
          <w:tcPr>
            <w:tcW w:w="1985" w:type="dxa"/>
          </w:tcPr>
          <w:p w14:paraId="2030EF75" w14:textId="77777777" w:rsidR="00E37BB4" w:rsidRPr="00741A41" w:rsidRDefault="00E37BB4" w:rsidP="00E37BB4">
            <w:pPr>
              <w:jc w:val="center"/>
              <w:rPr>
                <w:rFonts w:ascii="Times New Roman" w:hAnsi="Times New Roman" w:cs="Times New Roman"/>
                <w:sz w:val="18"/>
                <w:szCs w:val="18"/>
              </w:rPr>
            </w:pPr>
            <w:r>
              <w:rPr>
                <w:rFonts w:ascii="Times New Roman" w:hAnsi="Times New Roman"/>
                <w:sz w:val="18"/>
              </w:rPr>
              <w:t>168.693</w:t>
            </w:r>
          </w:p>
        </w:tc>
        <w:tc>
          <w:tcPr>
            <w:tcW w:w="1166" w:type="dxa"/>
          </w:tcPr>
          <w:p w14:paraId="105F2982" w14:textId="77777777" w:rsidR="00E37BB4" w:rsidRPr="00BC5BEA" w:rsidRDefault="00E37BB4" w:rsidP="00F75257">
            <w:pPr>
              <w:jc w:val="center"/>
              <w:rPr>
                <w:rFonts w:ascii="Times New Roman" w:eastAsia="Calibri" w:hAnsi="Times New Roman" w:cs="Times New Roman"/>
                <w:i/>
                <w:color w:val="000000"/>
                <w:sz w:val="18"/>
                <w:szCs w:val="18"/>
              </w:rPr>
            </w:pPr>
            <w:r>
              <w:rPr>
                <w:rFonts w:ascii="Times New Roman" w:hAnsi="Times New Roman"/>
                <w:i/>
                <w:color w:val="000000"/>
                <w:sz w:val="18"/>
              </w:rPr>
              <w:t>80.000</w:t>
            </w:r>
          </w:p>
        </w:tc>
        <w:tc>
          <w:tcPr>
            <w:tcW w:w="1356" w:type="dxa"/>
          </w:tcPr>
          <w:p w14:paraId="2DC81713" w14:textId="77777777" w:rsidR="00E37BB4" w:rsidRPr="00BC5BEA" w:rsidRDefault="00E37BB4" w:rsidP="00F75257">
            <w:pPr>
              <w:jc w:val="center"/>
              <w:rPr>
                <w:rFonts w:ascii="Times New Roman" w:eastAsia="Calibri" w:hAnsi="Times New Roman" w:cs="Times New Roman"/>
                <w:i/>
                <w:color w:val="000000"/>
                <w:sz w:val="18"/>
                <w:szCs w:val="18"/>
              </w:rPr>
            </w:pPr>
            <w:r>
              <w:rPr>
                <w:rFonts w:ascii="Times New Roman" w:hAnsi="Times New Roman"/>
                <w:i/>
                <w:color w:val="000000"/>
                <w:sz w:val="18"/>
              </w:rPr>
              <w:t>66.000</w:t>
            </w:r>
          </w:p>
        </w:tc>
        <w:tc>
          <w:tcPr>
            <w:tcW w:w="1541" w:type="dxa"/>
          </w:tcPr>
          <w:p w14:paraId="702A0C3D" w14:textId="77777777" w:rsidR="00E37BB4" w:rsidRPr="00BC5BEA" w:rsidRDefault="00E37BB4" w:rsidP="00F75257">
            <w:pPr>
              <w:jc w:val="center"/>
              <w:rPr>
                <w:rFonts w:ascii="Times New Roman" w:eastAsia="Calibri" w:hAnsi="Times New Roman" w:cs="Times New Roman"/>
                <w:i/>
                <w:color w:val="000000"/>
                <w:sz w:val="18"/>
                <w:szCs w:val="18"/>
              </w:rPr>
            </w:pPr>
            <w:r>
              <w:rPr>
                <w:rFonts w:ascii="Times New Roman" w:hAnsi="Times New Roman"/>
                <w:i/>
                <w:color w:val="000000"/>
                <w:sz w:val="18"/>
              </w:rPr>
              <w:t>23.000</w:t>
            </w:r>
          </w:p>
        </w:tc>
        <w:tc>
          <w:tcPr>
            <w:tcW w:w="1413" w:type="dxa"/>
          </w:tcPr>
          <w:p w14:paraId="18248649"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60.303</w:t>
            </w:r>
          </w:p>
        </w:tc>
        <w:tc>
          <w:tcPr>
            <w:tcW w:w="1495" w:type="dxa"/>
          </w:tcPr>
          <w:p w14:paraId="4C405764"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42.786</w:t>
            </w:r>
          </w:p>
        </w:tc>
        <w:tc>
          <w:tcPr>
            <w:tcW w:w="1708" w:type="dxa"/>
          </w:tcPr>
          <w:p w14:paraId="5B656BFF"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17.517</w:t>
            </w:r>
          </w:p>
        </w:tc>
      </w:tr>
      <w:tr w:rsidR="00E37BB4" w:rsidRPr="00735D83" w14:paraId="6A26131E" w14:textId="77777777" w:rsidTr="008803BC">
        <w:trPr>
          <w:trHeight w:val="222"/>
        </w:trPr>
        <w:tc>
          <w:tcPr>
            <w:tcW w:w="959" w:type="dxa"/>
          </w:tcPr>
          <w:p w14:paraId="0A219C2F"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2011</w:t>
            </w:r>
          </w:p>
        </w:tc>
        <w:tc>
          <w:tcPr>
            <w:tcW w:w="1549" w:type="dxa"/>
          </w:tcPr>
          <w:p w14:paraId="46716B73" w14:textId="77777777" w:rsidR="00E37BB4" w:rsidRPr="00741A41" w:rsidRDefault="00E37BB4" w:rsidP="00657826">
            <w:pPr>
              <w:jc w:val="center"/>
              <w:rPr>
                <w:rFonts w:ascii="Times New Roman" w:hAnsi="Times New Roman" w:cs="Times New Roman"/>
                <w:sz w:val="18"/>
                <w:szCs w:val="18"/>
              </w:rPr>
            </w:pPr>
            <w:r>
              <w:rPr>
                <w:rFonts w:ascii="Times New Roman" w:hAnsi="Times New Roman"/>
                <w:sz w:val="18"/>
              </w:rPr>
              <w:t>1.504.243</w:t>
            </w:r>
          </w:p>
        </w:tc>
        <w:tc>
          <w:tcPr>
            <w:tcW w:w="1002" w:type="dxa"/>
          </w:tcPr>
          <w:p w14:paraId="0833F359" w14:textId="77777777" w:rsidR="00E37BB4" w:rsidRPr="00741A41" w:rsidRDefault="00E37BB4" w:rsidP="00F75257">
            <w:pPr>
              <w:jc w:val="center"/>
              <w:rPr>
                <w:rFonts w:ascii="Times New Roman" w:eastAsia="Calibri" w:hAnsi="Times New Roman" w:cs="Times New Roman"/>
                <w:sz w:val="18"/>
                <w:szCs w:val="18"/>
              </w:rPr>
            </w:pPr>
            <w:r>
              <w:rPr>
                <w:rFonts w:ascii="Times New Roman" w:hAnsi="Times New Roman"/>
                <w:sz w:val="18"/>
              </w:rPr>
              <w:t>275.918</w:t>
            </w:r>
          </w:p>
        </w:tc>
        <w:tc>
          <w:tcPr>
            <w:tcW w:w="1985" w:type="dxa"/>
          </w:tcPr>
          <w:p w14:paraId="4C0B4545" w14:textId="77777777" w:rsidR="00E37BB4" w:rsidRPr="00741A41" w:rsidRDefault="00E37BB4" w:rsidP="00E37BB4">
            <w:pPr>
              <w:jc w:val="center"/>
              <w:rPr>
                <w:rFonts w:ascii="Times New Roman" w:hAnsi="Times New Roman" w:cs="Times New Roman"/>
                <w:sz w:val="18"/>
                <w:szCs w:val="18"/>
              </w:rPr>
            </w:pPr>
            <w:r>
              <w:rPr>
                <w:rFonts w:ascii="Times New Roman" w:hAnsi="Times New Roman"/>
                <w:sz w:val="18"/>
              </w:rPr>
              <w:t>170.615</w:t>
            </w:r>
          </w:p>
        </w:tc>
        <w:tc>
          <w:tcPr>
            <w:tcW w:w="1166" w:type="dxa"/>
          </w:tcPr>
          <w:p w14:paraId="676D3AC9" w14:textId="77777777" w:rsidR="00E37BB4" w:rsidRPr="00BC5BEA" w:rsidRDefault="00E37BB4" w:rsidP="00F75257">
            <w:pPr>
              <w:jc w:val="center"/>
              <w:rPr>
                <w:rFonts w:ascii="Times New Roman" w:eastAsia="Calibri" w:hAnsi="Times New Roman" w:cs="Times New Roman"/>
                <w:i/>
                <w:color w:val="000000"/>
                <w:sz w:val="18"/>
                <w:szCs w:val="18"/>
              </w:rPr>
            </w:pPr>
            <w:r>
              <w:rPr>
                <w:rFonts w:ascii="Times New Roman" w:hAnsi="Times New Roman"/>
                <w:i/>
                <w:color w:val="000000"/>
                <w:sz w:val="18"/>
              </w:rPr>
              <w:t>79.114</w:t>
            </w:r>
          </w:p>
        </w:tc>
        <w:tc>
          <w:tcPr>
            <w:tcW w:w="1356" w:type="dxa"/>
          </w:tcPr>
          <w:p w14:paraId="64751F3D" w14:textId="77777777" w:rsidR="00E37BB4" w:rsidRPr="00BC5BEA" w:rsidRDefault="00E37BB4" w:rsidP="00F75257">
            <w:pPr>
              <w:jc w:val="center"/>
              <w:rPr>
                <w:rFonts w:ascii="Times New Roman" w:eastAsia="Calibri" w:hAnsi="Times New Roman" w:cs="Times New Roman"/>
                <w:i/>
                <w:color w:val="000000"/>
                <w:sz w:val="18"/>
                <w:szCs w:val="18"/>
              </w:rPr>
            </w:pPr>
            <w:r>
              <w:rPr>
                <w:rFonts w:ascii="Times New Roman" w:hAnsi="Times New Roman"/>
                <w:i/>
                <w:color w:val="000000"/>
                <w:sz w:val="18"/>
              </w:rPr>
              <w:t>68.542</w:t>
            </w:r>
          </w:p>
        </w:tc>
        <w:tc>
          <w:tcPr>
            <w:tcW w:w="1541" w:type="dxa"/>
          </w:tcPr>
          <w:p w14:paraId="7C3C486A" w14:textId="77777777" w:rsidR="00E37BB4" w:rsidRPr="00BC5BEA" w:rsidRDefault="00E37BB4" w:rsidP="00F75257">
            <w:pPr>
              <w:jc w:val="center"/>
              <w:rPr>
                <w:rFonts w:ascii="Times New Roman" w:eastAsia="Calibri" w:hAnsi="Times New Roman" w:cs="Times New Roman"/>
                <w:i/>
                <w:color w:val="000000"/>
                <w:sz w:val="18"/>
                <w:szCs w:val="18"/>
              </w:rPr>
            </w:pPr>
            <w:r>
              <w:rPr>
                <w:rFonts w:ascii="Times New Roman" w:hAnsi="Times New Roman"/>
                <w:i/>
                <w:color w:val="000000"/>
                <w:sz w:val="18"/>
              </w:rPr>
              <w:t>22.959</w:t>
            </w:r>
          </w:p>
        </w:tc>
        <w:tc>
          <w:tcPr>
            <w:tcW w:w="1413" w:type="dxa"/>
          </w:tcPr>
          <w:p w14:paraId="2FB301DF"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52.660</w:t>
            </w:r>
          </w:p>
        </w:tc>
        <w:tc>
          <w:tcPr>
            <w:tcW w:w="1495" w:type="dxa"/>
          </w:tcPr>
          <w:p w14:paraId="015B8921"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36.719</w:t>
            </w:r>
          </w:p>
        </w:tc>
        <w:tc>
          <w:tcPr>
            <w:tcW w:w="1708" w:type="dxa"/>
          </w:tcPr>
          <w:p w14:paraId="2FA8648C"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15.941</w:t>
            </w:r>
          </w:p>
        </w:tc>
      </w:tr>
      <w:tr w:rsidR="00E37BB4" w:rsidRPr="00735D83" w14:paraId="1E074B0E" w14:textId="77777777" w:rsidTr="008803BC">
        <w:trPr>
          <w:trHeight w:val="206"/>
        </w:trPr>
        <w:tc>
          <w:tcPr>
            <w:tcW w:w="959" w:type="dxa"/>
          </w:tcPr>
          <w:p w14:paraId="51B85D72"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2012</w:t>
            </w:r>
          </w:p>
        </w:tc>
        <w:tc>
          <w:tcPr>
            <w:tcW w:w="1549" w:type="dxa"/>
          </w:tcPr>
          <w:p w14:paraId="28E5C405" w14:textId="77777777" w:rsidR="00E37BB4" w:rsidRPr="00741A41" w:rsidRDefault="00E37BB4" w:rsidP="00657826">
            <w:pPr>
              <w:jc w:val="center"/>
              <w:rPr>
                <w:rFonts w:ascii="Times New Roman" w:hAnsi="Times New Roman" w:cs="Times New Roman"/>
                <w:sz w:val="18"/>
                <w:szCs w:val="18"/>
              </w:rPr>
            </w:pPr>
            <w:r>
              <w:rPr>
                <w:rFonts w:ascii="Times New Roman" w:hAnsi="Times New Roman"/>
                <w:sz w:val="18"/>
              </w:rPr>
              <w:t>1.394.230</w:t>
            </w:r>
          </w:p>
        </w:tc>
        <w:tc>
          <w:tcPr>
            <w:tcW w:w="1002" w:type="dxa"/>
          </w:tcPr>
          <w:p w14:paraId="119DB2FC"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236.187</w:t>
            </w:r>
          </w:p>
        </w:tc>
        <w:tc>
          <w:tcPr>
            <w:tcW w:w="1985" w:type="dxa"/>
          </w:tcPr>
          <w:p w14:paraId="69E825BE" w14:textId="77777777" w:rsidR="00E37BB4" w:rsidRPr="00741A41" w:rsidRDefault="00E37BB4" w:rsidP="00E37BB4">
            <w:pPr>
              <w:jc w:val="center"/>
              <w:rPr>
                <w:rFonts w:ascii="Times New Roman" w:hAnsi="Times New Roman" w:cs="Times New Roman"/>
                <w:sz w:val="18"/>
                <w:szCs w:val="18"/>
              </w:rPr>
            </w:pPr>
            <w:r>
              <w:rPr>
                <w:rFonts w:ascii="Times New Roman" w:hAnsi="Times New Roman"/>
                <w:sz w:val="18"/>
              </w:rPr>
              <w:t>151.120</w:t>
            </w:r>
          </w:p>
        </w:tc>
        <w:tc>
          <w:tcPr>
            <w:tcW w:w="1166" w:type="dxa"/>
          </w:tcPr>
          <w:p w14:paraId="09FCCCB5"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61.735</w:t>
            </w:r>
          </w:p>
        </w:tc>
        <w:tc>
          <w:tcPr>
            <w:tcW w:w="1356" w:type="dxa"/>
          </w:tcPr>
          <w:p w14:paraId="4245F7B2"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21.663</w:t>
            </w:r>
          </w:p>
        </w:tc>
        <w:tc>
          <w:tcPr>
            <w:tcW w:w="1541" w:type="dxa"/>
          </w:tcPr>
          <w:p w14:paraId="113C4D7F"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21.663</w:t>
            </w:r>
          </w:p>
        </w:tc>
        <w:tc>
          <w:tcPr>
            <w:tcW w:w="1413" w:type="dxa"/>
          </w:tcPr>
          <w:p w14:paraId="5175AED8"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46.993</w:t>
            </w:r>
          </w:p>
        </w:tc>
        <w:tc>
          <w:tcPr>
            <w:tcW w:w="1495" w:type="dxa"/>
          </w:tcPr>
          <w:p w14:paraId="2AC166AB"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32.457</w:t>
            </w:r>
          </w:p>
        </w:tc>
        <w:tc>
          <w:tcPr>
            <w:tcW w:w="1708" w:type="dxa"/>
          </w:tcPr>
          <w:p w14:paraId="588C6B90"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14.536</w:t>
            </w:r>
          </w:p>
        </w:tc>
      </w:tr>
      <w:tr w:rsidR="00E37BB4" w:rsidRPr="00735D83" w14:paraId="79F36178" w14:textId="77777777" w:rsidTr="008803BC">
        <w:trPr>
          <w:trHeight w:val="222"/>
        </w:trPr>
        <w:tc>
          <w:tcPr>
            <w:tcW w:w="959" w:type="dxa"/>
          </w:tcPr>
          <w:p w14:paraId="18D72677"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2013</w:t>
            </w:r>
          </w:p>
        </w:tc>
        <w:tc>
          <w:tcPr>
            <w:tcW w:w="1549" w:type="dxa"/>
          </w:tcPr>
          <w:p w14:paraId="10EB568F" w14:textId="77777777" w:rsidR="00E37BB4" w:rsidRPr="00741A41" w:rsidRDefault="00E37BB4" w:rsidP="00741A41">
            <w:pPr>
              <w:jc w:val="center"/>
              <w:rPr>
                <w:rFonts w:ascii="Times New Roman" w:hAnsi="Times New Roman" w:cs="Times New Roman"/>
                <w:sz w:val="18"/>
                <w:szCs w:val="18"/>
              </w:rPr>
            </w:pPr>
            <w:r>
              <w:rPr>
                <w:rFonts w:ascii="Times New Roman" w:hAnsi="Times New Roman"/>
                <w:sz w:val="18"/>
              </w:rPr>
              <w:t>1.445.339</w:t>
            </w:r>
          </w:p>
        </w:tc>
        <w:tc>
          <w:tcPr>
            <w:tcW w:w="1002" w:type="dxa"/>
          </w:tcPr>
          <w:p w14:paraId="2F646FB0"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227.942</w:t>
            </w:r>
          </w:p>
        </w:tc>
        <w:tc>
          <w:tcPr>
            <w:tcW w:w="1985" w:type="dxa"/>
          </w:tcPr>
          <w:p w14:paraId="3B1D6E35" w14:textId="77777777" w:rsidR="00E37BB4" w:rsidRPr="00741A41" w:rsidRDefault="00E37BB4" w:rsidP="00E37BB4">
            <w:pPr>
              <w:jc w:val="center"/>
              <w:rPr>
                <w:rFonts w:ascii="Times New Roman" w:hAnsi="Times New Roman" w:cs="Times New Roman"/>
                <w:sz w:val="18"/>
                <w:szCs w:val="18"/>
              </w:rPr>
            </w:pPr>
            <w:r>
              <w:rPr>
                <w:rFonts w:ascii="Times New Roman" w:hAnsi="Times New Roman"/>
                <w:sz w:val="18"/>
              </w:rPr>
              <w:t>149.637</w:t>
            </w:r>
          </w:p>
        </w:tc>
        <w:tc>
          <w:tcPr>
            <w:tcW w:w="1166" w:type="dxa"/>
          </w:tcPr>
          <w:p w14:paraId="7319B4BA" w14:textId="77777777" w:rsidR="00E37BB4" w:rsidRPr="00741A41" w:rsidRDefault="00E37BB4" w:rsidP="00F75257">
            <w:pPr>
              <w:jc w:val="center"/>
              <w:rPr>
                <w:rFonts w:ascii="Times New Roman" w:hAnsi="Times New Roman" w:cs="Times New Roman"/>
                <w:sz w:val="18"/>
                <w:szCs w:val="18"/>
              </w:rPr>
            </w:pPr>
          </w:p>
        </w:tc>
        <w:tc>
          <w:tcPr>
            <w:tcW w:w="1356" w:type="dxa"/>
          </w:tcPr>
          <w:p w14:paraId="3C373CBB" w14:textId="77777777" w:rsidR="00E37BB4" w:rsidRPr="00741A41" w:rsidRDefault="00E37BB4" w:rsidP="00F75257">
            <w:pPr>
              <w:jc w:val="center"/>
              <w:rPr>
                <w:rFonts w:ascii="Times New Roman" w:hAnsi="Times New Roman" w:cs="Times New Roman"/>
                <w:sz w:val="18"/>
                <w:szCs w:val="18"/>
              </w:rPr>
            </w:pPr>
          </w:p>
        </w:tc>
        <w:tc>
          <w:tcPr>
            <w:tcW w:w="1541" w:type="dxa"/>
          </w:tcPr>
          <w:p w14:paraId="2E21A0D6" w14:textId="77777777" w:rsidR="00E37BB4" w:rsidRPr="00741A41" w:rsidRDefault="00E37BB4" w:rsidP="00F75257">
            <w:pPr>
              <w:jc w:val="center"/>
              <w:rPr>
                <w:rFonts w:ascii="Times New Roman" w:hAnsi="Times New Roman" w:cs="Times New Roman"/>
                <w:sz w:val="18"/>
                <w:szCs w:val="18"/>
              </w:rPr>
            </w:pPr>
          </w:p>
        </w:tc>
        <w:tc>
          <w:tcPr>
            <w:tcW w:w="1413" w:type="dxa"/>
          </w:tcPr>
          <w:p w14:paraId="5B23EF7B" w14:textId="77777777" w:rsidR="00E37BB4" w:rsidRPr="00741A41" w:rsidRDefault="00E37BB4" w:rsidP="00E37BB4">
            <w:pPr>
              <w:jc w:val="center"/>
              <w:rPr>
                <w:rFonts w:ascii="Times New Roman" w:hAnsi="Times New Roman" w:cs="Times New Roman"/>
                <w:sz w:val="18"/>
                <w:szCs w:val="18"/>
              </w:rPr>
            </w:pPr>
            <w:r>
              <w:rPr>
                <w:rFonts w:ascii="Times New Roman" w:hAnsi="Times New Roman"/>
                <w:sz w:val="18"/>
              </w:rPr>
              <w:t>43.093</w:t>
            </w:r>
          </w:p>
        </w:tc>
        <w:tc>
          <w:tcPr>
            <w:tcW w:w="1495" w:type="dxa"/>
          </w:tcPr>
          <w:p w14:paraId="0CA7354D"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22.118</w:t>
            </w:r>
          </w:p>
        </w:tc>
        <w:tc>
          <w:tcPr>
            <w:tcW w:w="1708" w:type="dxa"/>
          </w:tcPr>
          <w:p w14:paraId="05B488DE" w14:textId="77777777" w:rsidR="00E37BB4" w:rsidRPr="00741A41" w:rsidRDefault="00E37BB4" w:rsidP="00F75257">
            <w:pPr>
              <w:jc w:val="center"/>
              <w:rPr>
                <w:rFonts w:ascii="Times New Roman" w:hAnsi="Times New Roman" w:cs="Times New Roman"/>
                <w:sz w:val="18"/>
                <w:szCs w:val="18"/>
              </w:rPr>
            </w:pPr>
            <w:r>
              <w:rPr>
                <w:rFonts w:ascii="Times New Roman" w:hAnsi="Times New Roman"/>
                <w:sz w:val="18"/>
              </w:rPr>
              <w:t>10.178</w:t>
            </w:r>
          </w:p>
        </w:tc>
      </w:tr>
    </w:tbl>
    <w:p w14:paraId="08EF3AF9" w14:textId="77777777" w:rsidR="00270EE9" w:rsidRDefault="00270EE9" w:rsidP="00270EE9">
      <w:pPr>
        <w:spacing w:after="0" w:line="240" w:lineRule="auto"/>
        <w:jc w:val="both"/>
        <w:rPr>
          <w:sz w:val="20"/>
        </w:rPr>
      </w:pPr>
    </w:p>
    <w:sectPr w:rsidR="00270EE9" w:rsidSect="003036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D610F" w14:textId="77777777" w:rsidR="00507CE3" w:rsidRDefault="00507CE3" w:rsidP="00AF4C22">
      <w:pPr>
        <w:spacing w:after="0" w:line="240" w:lineRule="auto"/>
      </w:pPr>
      <w:r>
        <w:separator/>
      </w:r>
    </w:p>
  </w:endnote>
  <w:endnote w:type="continuationSeparator" w:id="0">
    <w:p w14:paraId="76E00DCC" w14:textId="77777777" w:rsidR="00507CE3" w:rsidRDefault="00507CE3" w:rsidP="00AF4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256152"/>
      <w:docPartObj>
        <w:docPartGallery w:val="Page Numbers (Bottom of Page)"/>
        <w:docPartUnique/>
      </w:docPartObj>
    </w:sdtPr>
    <w:sdtEndPr>
      <w:rPr>
        <w:noProof/>
      </w:rPr>
    </w:sdtEndPr>
    <w:sdtContent>
      <w:p w14:paraId="617E4C04" w14:textId="77777777" w:rsidR="00507CE3" w:rsidRDefault="00507CE3">
        <w:pPr>
          <w:pStyle w:val="Fuzeile"/>
          <w:jc w:val="center"/>
        </w:pPr>
        <w:r>
          <w:fldChar w:fldCharType="begin"/>
        </w:r>
        <w:r>
          <w:instrText xml:space="preserve"> PAGE   \* MERGEFORMAT </w:instrText>
        </w:r>
        <w:r>
          <w:fldChar w:fldCharType="separate"/>
        </w:r>
        <w:r w:rsidR="00E55ACE">
          <w:rPr>
            <w:noProof/>
          </w:rPr>
          <w:t>17</w:t>
        </w:r>
        <w:r>
          <w:rPr>
            <w:noProof/>
          </w:rPr>
          <w:fldChar w:fldCharType="end"/>
        </w:r>
      </w:p>
    </w:sdtContent>
  </w:sdt>
  <w:p w14:paraId="45371DE7" w14:textId="77777777" w:rsidR="00507CE3" w:rsidRDefault="00507CE3">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1CD77" w14:textId="77777777" w:rsidR="00507CE3" w:rsidRDefault="00507CE3" w:rsidP="00AF4C22">
      <w:pPr>
        <w:spacing w:after="0" w:line="240" w:lineRule="auto"/>
      </w:pPr>
      <w:r>
        <w:separator/>
      </w:r>
    </w:p>
  </w:footnote>
  <w:footnote w:type="continuationSeparator" w:id="0">
    <w:p w14:paraId="6AC6EE26" w14:textId="77777777" w:rsidR="00507CE3" w:rsidRDefault="00507CE3" w:rsidP="00AF4C22">
      <w:pPr>
        <w:spacing w:after="0" w:line="240" w:lineRule="auto"/>
      </w:pPr>
      <w:r>
        <w:continuationSeparator/>
      </w:r>
    </w:p>
  </w:footnote>
  <w:footnote w:id="1">
    <w:p w14:paraId="5625379A" w14:textId="7BCC6702" w:rsidR="00507CE3" w:rsidRPr="008803BC" w:rsidRDefault="00507CE3" w:rsidP="005368B3">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r>
        <w:rPr>
          <w:rFonts w:ascii="Times New Roman" w:hAnsi="Times New Roman"/>
        </w:rPr>
        <w:t xml:space="preserve">Professor für Rechtssysteme an der University of Oxford; Leiter des CMS/Swiss Re Forschungsprogramms zu Zivilrechtssystemen am Oxford University Centre for Socio-Legal Studies - CSLS; Mitglied des Wolfson College, Oxford; Honorarprofessor an der China University of Political Science and Law in Peking. Die Forschung am CSLS wird dankenswerterweise von der Swiss Reinsurance Company Limited, der internationalen Rechtsanwaltskanzlei CMS und dem European Justice Forum gefördert. - Dieses Dokument wurde erstmals am 31. Oktober 2014 auf der vierten ADR-Jahreskonferenz Verbraucherschutz in Oxford vorgestellt, die von der Swiss Reinsurance Company Limited und der Foundation for Law Justice and Society gefördert wurde. Eine aktualisierte Version wurde am 5. </w:t>
      </w:r>
      <w:proofErr w:type="gramStart"/>
      <w:r>
        <w:rPr>
          <w:rFonts w:ascii="Times New Roman" w:hAnsi="Times New Roman"/>
        </w:rPr>
        <w:t>und</w:t>
      </w:r>
      <w:proofErr w:type="gramEnd"/>
      <w:r>
        <w:rPr>
          <w:rFonts w:ascii="Times New Roman" w:hAnsi="Times New Roman"/>
        </w:rPr>
        <w:t xml:space="preserve"> 6. </w:t>
      </w:r>
      <w:proofErr w:type="gramStart"/>
      <w:r>
        <w:rPr>
          <w:rFonts w:ascii="Times New Roman" w:hAnsi="Times New Roman"/>
        </w:rPr>
        <w:t>März 2015 auf der ADR- und ODR-Konferenz der Europäischen Rechtsakademie (ERA) in Trier vorgestellt.</w:t>
      </w:r>
      <w:proofErr w:type="gramEnd"/>
    </w:p>
  </w:footnote>
  <w:footnote w:id="2">
    <w:p w14:paraId="6CD304E1" w14:textId="4BD9BC81" w:rsidR="00507CE3" w:rsidRPr="005A7016" w:rsidRDefault="00507CE3">
      <w:pPr>
        <w:pStyle w:val="Funotentext"/>
        <w:rPr>
          <w:rFonts w:ascii="Times New Roman" w:hAnsi="Times New Roman" w:cs="Times New Roman"/>
          <w:lang w:val="es-ES"/>
        </w:rPr>
      </w:pPr>
      <w:r>
        <w:rPr>
          <w:rStyle w:val="Funotenzeichen"/>
          <w:rFonts w:ascii="Times New Roman" w:hAnsi="Times New Roman"/>
        </w:rPr>
        <w:footnoteRef/>
      </w:r>
      <w:r w:rsidRPr="008803BC">
        <w:rPr>
          <w:rFonts w:ascii="Times New Roman" w:hAnsi="Times New Roman"/>
        </w:rPr>
        <w:t xml:space="preserve"> </w:t>
      </w:r>
      <w:r>
        <w:rPr>
          <w:rFonts w:ascii="Times New Roman" w:hAnsi="Times New Roman"/>
        </w:rPr>
        <w:t xml:space="preserve">Zu den Beobachtungen, dass die meisten C2B-Klagen kleinere Summen betreffen, welche die Verbraucher weder in Bagatellklageverfahren, noch durch kollektiven Rechtsschutz oder allgemein durch Gerichte </w:t>
      </w:r>
      <w:r w:rsidRPr="00D62148">
        <w:rPr>
          <w:rFonts w:ascii="Times New Roman" w:hAnsi="Times New Roman"/>
        </w:rPr>
        <w:t>geltend machen</w:t>
      </w:r>
      <w:r>
        <w:rPr>
          <w:rFonts w:ascii="Times New Roman" w:hAnsi="Times New Roman"/>
        </w:rPr>
        <w:t>, siehe C. Hodges: „Consumer Redress: Ideology and Empiricism", erschienen in K. Purnhagen and P. Rott (Hrsg.): „</w:t>
      </w:r>
      <w:r>
        <w:rPr>
          <w:rFonts w:ascii="Times New Roman" w:hAnsi="Times New Roman"/>
          <w:i/>
        </w:rPr>
        <w:t>Varieties of European Economic Law and Regulation.</w:t>
      </w:r>
      <w:r>
        <w:rPr>
          <w:rFonts w:ascii="Times New Roman" w:hAnsi="Times New Roman"/>
        </w:rPr>
        <w:t xml:space="preserve"> </w:t>
      </w:r>
      <w:r w:rsidRPr="00E05C9D">
        <w:rPr>
          <w:rFonts w:ascii="Times New Roman" w:hAnsi="Times New Roman"/>
          <w:i/>
        </w:rPr>
        <w:t>Festschrift f</w:t>
      </w:r>
      <w:r>
        <w:rPr>
          <w:rFonts w:ascii="Times New Roman" w:hAnsi="Times New Roman"/>
          <w:i/>
        </w:rPr>
        <w:t>ü</w:t>
      </w:r>
      <w:r w:rsidRPr="00E05C9D">
        <w:rPr>
          <w:rFonts w:ascii="Times New Roman" w:hAnsi="Times New Roman"/>
          <w:i/>
        </w:rPr>
        <w:t>r Hans Micklitz</w:t>
      </w:r>
      <w:r w:rsidRPr="00E05C9D">
        <w:rPr>
          <w:rFonts w:ascii="Times New Roman" w:hAnsi="Times New Roman"/>
        </w:rPr>
        <w:t xml:space="preserve">" (Springer, 2014) sowie C. Hodges: „Collective Redress: A Breakthrough or a Damp Sqibb?" </w:t>
      </w:r>
      <w:r>
        <w:rPr>
          <w:rFonts w:ascii="Times New Roman" w:hAnsi="Times New Roman"/>
        </w:rPr>
        <w:t>(2014) 34 „</w:t>
      </w:r>
      <w:r>
        <w:rPr>
          <w:rFonts w:ascii="Times New Roman" w:hAnsi="Times New Roman"/>
          <w:i/>
        </w:rPr>
        <w:t xml:space="preserve">Journal of Consumer Policy", S. </w:t>
      </w:r>
      <w:r>
        <w:rPr>
          <w:rFonts w:ascii="Times New Roman" w:hAnsi="Times New Roman"/>
        </w:rPr>
        <w:t>67–89.</w:t>
      </w:r>
    </w:p>
  </w:footnote>
  <w:footnote w:id="3">
    <w:p w14:paraId="766F2831" w14:textId="503EC81C" w:rsidR="00507CE3" w:rsidRPr="008803BC" w:rsidRDefault="00507CE3">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proofErr w:type="gramStart"/>
      <w:r>
        <w:rPr>
          <w:rFonts w:ascii="Times New Roman" w:hAnsi="Times New Roman"/>
        </w:rPr>
        <w:t>Richtlinie 2013/11/EU über alternative Streitbeilegung in Verbraucherangelegenheiten.</w:t>
      </w:r>
      <w:proofErr w:type="gramEnd"/>
    </w:p>
  </w:footnote>
  <w:footnote w:id="4">
    <w:p w14:paraId="2165D4C4" w14:textId="72018AEE" w:rsidR="00507CE3" w:rsidRPr="008803BC" w:rsidRDefault="00507CE3">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proofErr w:type="gramStart"/>
      <w:r>
        <w:rPr>
          <w:rFonts w:ascii="Times New Roman" w:hAnsi="Times New Roman"/>
        </w:rPr>
        <w:t>Richtlinie 2013/11/EU, Art.</w:t>
      </w:r>
      <w:proofErr w:type="gramEnd"/>
      <w:r>
        <w:rPr>
          <w:rFonts w:ascii="Times New Roman" w:hAnsi="Times New Roman"/>
        </w:rPr>
        <w:t xml:space="preserve"> 5.1. Die Residualverpflichtung besteht darin sicherzustellen, dass jeder C2B-Anspruch, die nicht von anderen existierenden CDR-Programmen abgedeckt wird, auf dem Wege alternativer Streitbeilegung geregelt werden kann.</w:t>
      </w:r>
    </w:p>
  </w:footnote>
  <w:footnote w:id="5">
    <w:p w14:paraId="5AA02B82" w14:textId="4CD1D96D" w:rsidR="00507CE3" w:rsidRPr="008803BC" w:rsidRDefault="00507CE3">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proofErr w:type="gramStart"/>
      <w:r>
        <w:rPr>
          <w:rFonts w:ascii="Times New Roman" w:hAnsi="Times New Roman"/>
        </w:rPr>
        <w:t>Richtlinie 2013/11/EU, Art.</w:t>
      </w:r>
      <w:proofErr w:type="gramEnd"/>
      <w:r>
        <w:rPr>
          <w:rFonts w:ascii="Times New Roman" w:hAnsi="Times New Roman"/>
        </w:rPr>
        <w:t xml:space="preserve"> 13.</w:t>
      </w:r>
    </w:p>
  </w:footnote>
  <w:footnote w:id="6">
    <w:p w14:paraId="4DB1FEEE" w14:textId="7F865F41" w:rsidR="00507CE3" w:rsidRPr="008803BC" w:rsidRDefault="00507CE3">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proofErr w:type="gramStart"/>
      <w:r>
        <w:rPr>
          <w:rFonts w:ascii="Times New Roman" w:hAnsi="Times New Roman"/>
        </w:rPr>
        <w:t>Luftverkehrsgesetz, §§ 57 ff.</w:t>
      </w:r>
      <w:proofErr w:type="gramEnd"/>
      <w:r w:rsidRPr="00121B7D">
        <w:rPr>
          <w:rFonts w:ascii="Times New Roman" w:hAnsi="Times New Roman" w:cs="Times New Roman"/>
        </w:rPr>
        <w:t xml:space="preserve"> </w:t>
      </w:r>
    </w:p>
  </w:footnote>
  <w:footnote w:id="7">
    <w:p w14:paraId="408DCF18" w14:textId="4924C8EA" w:rsidR="00507CE3" w:rsidRPr="008803BC" w:rsidRDefault="00507CE3" w:rsidP="00EB325B">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r>
        <w:rPr>
          <w:rFonts w:ascii="Times New Roman" w:hAnsi="Times New Roman"/>
        </w:rPr>
        <w:t>Siehe C. Hodges, I. Benöhr und N. Creutzfeldt: „</w:t>
      </w:r>
      <w:r>
        <w:rPr>
          <w:rFonts w:ascii="Times New Roman" w:hAnsi="Times New Roman"/>
          <w:i/>
        </w:rPr>
        <w:t xml:space="preserve">Consumer ADR in Europe" </w:t>
      </w:r>
      <w:r>
        <w:rPr>
          <w:rFonts w:ascii="Times New Roman" w:hAnsi="Times New Roman"/>
        </w:rPr>
        <w:t>(Oxford: Hart Publishing, 2012).</w:t>
      </w:r>
    </w:p>
  </w:footnote>
  <w:footnote w:id="8">
    <w:p w14:paraId="1B4EB55F" w14:textId="656765AD" w:rsidR="00507CE3" w:rsidRPr="008803BC" w:rsidRDefault="00507CE3" w:rsidP="00EB325B">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r>
        <w:rPr>
          <w:rFonts w:ascii="Times New Roman" w:hAnsi="Times New Roman"/>
        </w:rPr>
        <w:t>Der Autor hat beobachtet, dass diese Aussage von Unternehmen verschiedener Sektoren in verschiedenen EU-Staaten gemacht wurde, die allesamt keine konkreten Erfahrungen mit CDR-Systemen haben.</w:t>
      </w:r>
    </w:p>
  </w:footnote>
  <w:footnote w:id="9">
    <w:p w14:paraId="3590B556" w14:textId="5A5BDA19" w:rsidR="00507CE3" w:rsidRPr="008803BC" w:rsidRDefault="00507CE3" w:rsidP="00EB325B">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proofErr w:type="gramStart"/>
      <w:r>
        <w:rPr>
          <w:rFonts w:ascii="Times New Roman" w:hAnsi="Times New Roman"/>
        </w:rPr>
        <w:t>Der Autor hat diese Aussage in den letzten vier Jahren in Diskussionen mit verschiedenen ADR-Institutionen und bei verschiedenen Konferenzen in ganz Europa mit konstantem Ergebnis überprüft.</w:t>
      </w:r>
      <w:proofErr w:type="gramEnd"/>
      <w:r>
        <w:rPr>
          <w:rFonts w:ascii="Times New Roman" w:hAnsi="Times New Roman"/>
        </w:rPr>
        <w:t xml:space="preserve"> Der Onlineservice</w:t>
      </w:r>
      <w:r>
        <w:rPr>
          <w:rFonts w:ascii="Times New Roman" w:hAnsi="Times New Roman"/>
          <w:i/>
        </w:rPr>
        <w:t xml:space="preserve"> </w:t>
      </w:r>
      <w:r>
        <w:rPr>
          <w:rFonts w:ascii="Times New Roman" w:hAnsi="Times New Roman"/>
        </w:rPr>
        <w:t xml:space="preserve">für Beschwerdeverfahren </w:t>
      </w:r>
      <w:r>
        <w:rPr>
          <w:rFonts w:ascii="Times New Roman" w:hAnsi="Times New Roman"/>
          <w:i/>
        </w:rPr>
        <w:t>Resolver</w:t>
      </w:r>
      <w:r>
        <w:rPr>
          <w:rFonts w:ascii="Times New Roman" w:hAnsi="Times New Roman"/>
        </w:rPr>
        <w:t xml:space="preserve"> </w:t>
      </w:r>
      <w:hyperlink r:id="rId1">
        <w:r>
          <w:rPr>
            <w:rStyle w:val="Link"/>
            <w:rFonts w:ascii="Times New Roman" w:hAnsi="Times New Roman"/>
          </w:rPr>
          <w:t>www.resolver.co.uk</w:t>
        </w:r>
      </w:hyperlink>
      <w:r>
        <w:rPr>
          <w:rStyle w:val="Link"/>
          <w:rFonts w:ascii="Times New Roman" w:hAnsi="Times New Roman"/>
        </w:rPr>
        <w:t xml:space="preserve"> </w:t>
      </w:r>
      <w:r>
        <w:rPr>
          <w:rFonts w:ascii="Times New Roman" w:hAnsi="Times New Roman"/>
        </w:rPr>
        <w:t>schätzt, dass etwa ein Prozent der Klagen unbegründet sein dürften: Interview mit James Walker im Dezember 2014.</w:t>
      </w:r>
      <w:r w:rsidRPr="008803BC">
        <w:rPr>
          <w:rFonts w:ascii="Times New Roman" w:hAnsi="Times New Roman"/>
        </w:rPr>
        <w:t xml:space="preserve"> </w:t>
      </w:r>
    </w:p>
  </w:footnote>
  <w:footnote w:id="10">
    <w:p w14:paraId="0B896416" w14:textId="38F74EFC" w:rsidR="00507CE3" w:rsidRPr="008803BC" w:rsidRDefault="00507CE3" w:rsidP="00EB325B">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proofErr w:type="gramStart"/>
      <w:r>
        <w:rPr>
          <w:rFonts w:ascii="Times New Roman" w:hAnsi="Times New Roman"/>
          <w:i/>
        </w:rPr>
        <w:t xml:space="preserve">Verbraucherbefragung – ADR für den Luftverkehrssektor </w:t>
      </w:r>
      <w:r>
        <w:rPr>
          <w:rFonts w:ascii="Times New Roman" w:hAnsi="Times New Roman"/>
        </w:rPr>
        <w:t>des Vereinigten Königreichs (2CV, 2014).</w:t>
      </w:r>
      <w:proofErr w:type="gramEnd"/>
    </w:p>
  </w:footnote>
  <w:footnote w:id="11">
    <w:p w14:paraId="30D14A2E" w14:textId="3E924230" w:rsidR="00507CE3" w:rsidRPr="008803BC" w:rsidRDefault="00507CE3" w:rsidP="00EB325B">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r>
        <w:rPr>
          <w:rFonts w:ascii="Times New Roman" w:hAnsi="Times New Roman"/>
        </w:rPr>
        <w:t xml:space="preserve">Der britische Financial Ombudsman Service beabsichtigt, Menschen zu erreichen, die Probleme haben und denen es möglicherweise zu aufwendig </w:t>
      </w:r>
      <w:proofErr w:type="gramStart"/>
      <w:r>
        <w:rPr>
          <w:rFonts w:ascii="Times New Roman" w:hAnsi="Times New Roman"/>
        </w:rPr>
        <w:t>ist</w:t>
      </w:r>
      <w:proofErr w:type="gramEnd"/>
      <w:r>
        <w:rPr>
          <w:rFonts w:ascii="Times New Roman" w:hAnsi="Times New Roman"/>
        </w:rPr>
        <w:t xml:space="preserve">, Klage zu erheben. Der Service umfasst mehr </w:t>
      </w:r>
      <w:proofErr w:type="gramStart"/>
      <w:r>
        <w:rPr>
          <w:rFonts w:ascii="Times New Roman" w:hAnsi="Times New Roman"/>
        </w:rPr>
        <w:t>als</w:t>
      </w:r>
      <w:proofErr w:type="gramEnd"/>
      <w:r>
        <w:rPr>
          <w:rFonts w:ascii="Times New Roman" w:hAnsi="Times New Roman"/>
        </w:rPr>
        <w:t xml:space="preserve"> Beratung allein – drei Schlüsselwörter, die verwendet werden, sind: Hilfe, Unterstützung und Gespräch. Präsentation von C. Wayman am 30. </w:t>
      </w:r>
      <w:proofErr w:type="gramStart"/>
      <w:r>
        <w:rPr>
          <w:rFonts w:ascii="Times New Roman" w:hAnsi="Times New Roman"/>
        </w:rPr>
        <w:t>Oktober 2014 bei der vierten ADR-Jahreskonferenz Verbraucherschutz in Oxford.</w:t>
      </w:r>
      <w:proofErr w:type="gramEnd"/>
    </w:p>
  </w:footnote>
  <w:footnote w:id="12">
    <w:p w14:paraId="521FA4E2" w14:textId="0843AD40" w:rsidR="00507CE3" w:rsidRPr="008803BC" w:rsidRDefault="00507CE3" w:rsidP="00EB325B">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r>
        <w:rPr>
          <w:rFonts w:ascii="Times New Roman" w:hAnsi="Times New Roman"/>
        </w:rPr>
        <w:t>Die von britischen Wirtschaftsverbänden geförderten Schlichtungssysteme, die vom CEDR in Großbritannien getragen werden, vermeiden es bewusst, beratend tätig zu sein, weil dies den Anschein erwecken könnte, dass ihre Unabhängigkeit beeinträchtigt ist: Aussage von G. Shim bei der vierten ADR-Jahreskonferenz Verbraucherschutz in Oxford am 30. Oktober 2014.</w:t>
      </w:r>
      <w:r w:rsidRPr="002B4174">
        <w:rPr>
          <w:rFonts w:ascii="Times New Roman" w:hAnsi="Times New Roman" w:cs="Times New Roman"/>
        </w:rPr>
        <w:t xml:space="preserve"> </w:t>
      </w:r>
    </w:p>
  </w:footnote>
  <w:footnote w:id="13">
    <w:p w14:paraId="693B63A6" w14:textId="46F9F52D" w:rsidR="00507CE3" w:rsidRPr="008803BC" w:rsidRDefault="00507CE3" w:rsidP="00AE627D">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r>
        <w:rPr>
          <w:rFonts w:ascii="Times New Roman" w:hAnsi="Times New Roman"/>
        </w:rPr>
        <w:t xml:space="preserve">In den meisten ehemaligen kommunistischen Staaten </w:t>
      </w:r>
      <w:proofErr w:type="gramStart"/>
      <w:r>
        <w:rPr>
          <w:rFonts w:ascii="Times New Roman" w:hAnsi="Times New Roman"/>
        </w:rPr>
        <w:t>sind</w:t>
      </w:r>
      <w:proofErr w:type="gramEnd"/>
      <w:r>
        <w:rPr>
          <w:rFonts w:ascii="Times New Roman" w:hAnsi="Times New Roman"/>
        </w:rPr>
        <w:t xml:space="preserve"> Gerichtsurteile vertraulich.</w:t>
      </w:r>
    </w:p>
  </w:footnote>
  <w:footnote w:id="14">
    <w:p w14:paraId="266AC3CE" w14:textId="6757E9F4" w:rsidR="00507CE3" w:rsidRPr="008803BC" w:rsidRDefault="00507CE3" w:rsidP="00AE627D">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proofErr w:type="gramStart"/>
      <w:r>
        <w:rPr>
          <w:rFonts w:ascii="Times New Roman" w:hAnsi="Times New Roman"/>
        </w:rPr>
        <w:t>Richtlinie über alternative Streitbeilegung in Verbraucherangelegenheiten, Art.</w:t>
      </w:r>
      <w:proofErr w:type="gramEnd"/>
      <w:r>
        <w:rPr>
          <w:rFonts w:ascii="Times New Roman" w:hAnsi="Times New Roman"/>
        </w:rPr>
        <w:t xml:space="preserve"> 17. </w:t>
      </w:r>
    </w:p>
  </w:footnote>
  <w:footnote w:id="15">
    <w:p w14:paraId="68E669E9" w14:textId="25F3B4AE" w:rsidR="00507CE3" w:rsidRPr="008803BC" w:rsidRDefault="00507CE3" w:rsidP="00AE627D">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r w:rsidRPr="005F1F7C">
        <w:rPr>
          <w:rFonts w:ascii="Times New Roman" w:hAnsi="Times New Roman"/>
        </w:rPr>
        <w:t>Siehe S. Voet: „Belgium" erschienen in C. Hodges, I. Benöhr und N. Creutzfeldt: „</w:t>
      </w:r>
      <w:r w:rsidRPr="005F1F7C">
        <w:rPr>
          <w:rFonts w:ascii="Times New Roman" w:hAnsi="Times New Roman"/>
          <w:i/>
        </w:rPr>
        <w:t xml:space="preserve">Consumer ADR in Europe" </w:t>
      </w:r>
      <w:r w:rsidRPr="005F1F7C">
        <w:rPr>
          <w:rFonts w:ascii="Times New Roman" w:hAnsi="Times New Roman"/>
        </w:rPr>
        <w:t>(Oxford: Hart Publishing, 2012); und S. Voet: „</w:t>
      </w:r>
      <w:r w:rsidRPr="005F1F7C">
        <w:rPr>
          <w:rFonts w:ascii="Times New Roman" w:hAnsi="Times New Roman"/>
          <w:color w:val="000000"/>
        </w:rPr>
        <w:t xml:space="preserve">Public Enforcement and </w:t>
      </w:r>
      <w:proofErr w:type="gramStart"/>
      <w:r w:rsidRPr="005F1F7C">
        <w:rPr>
          <w:rFonts w:ascii="Times New Roman" w:hAnsi="Times New Roman"/>
          <w:color w:val="000000"/>
        </w:rPr>
        <w:t>A(</w:t>
      </w:r>
      <w:proofErr w:type="gramEnd"/>
      <w:r w:rsidRPr="005F1F7C">
        <w:rPr>
          <w:rFonts w:ascii="Times New Roman" w:hAnsi="Times New Roman"/>
          <w:color w:val="000000"/>
        </w:rPr>
        <w:t>O)DR as Mechanisms for Resolving Mass Problems: A Belgian Perspective</w:t>
      </w:r>
      <w:r w:rsidRPr="005F1F7C">
        <w:rPr>
          <w:rFonts w:ascii="Times New Roman" w:hAnsi="Times New Roman"/>
        </w:rPr>
        <w:t>" erschienen in C. Hodges und A. Stadler (Hrsg.): „</w:t>
      </w:r>
      <w:r w:rsidRPr="005F1F7C">
        <w:rPr>
          <w:rFonts w:ascii="Times New Roman" w:hAnsi="Times New Roman"/>
          <w:i/>
        </w:rPr>
        <w:t>Resolving Mass Disputes: ADR and Settlement of Mass Claims"</w:t>
      </w:r>
      <w:r w:rsidRPr="005F1F7C">
        <w:rPr>
          <w:rFonts w:ascii="Times New Roman" w:hAnsi="Times New Roman"/>
        </w:rPr>
        <w:t xml:space="preserve"> (Edward Elgar, 2013).</w:t>
      </w:r>
    </w:p>
  </w:footnote>
  <w:footnote w:id="16">
    <w:p w14:paraId="6A79F2B3" w14:textId="11673182" w:rsidR="00507CE3" w:rsidRPr="008803BC" w:rsidRDefault="00507CE3" w:rsidP="00DD3312">
      <w:pPr>
        <w:pStyle w:val="Funotentext"/>
      </w:pPr>
      <w:r w:rsidRPr="00C909DF">
        <w:rPr>
          <w:rFonts w:ascii="Times New Roman" w:hAnsi="Times New Roman"/>
          <w:color w:val="000000"/>
          <w:vertAlign w:val="superscript"/>
        </w:rPr>
        <w:footnoteRef/>
      </w:r>
      <w:r w:rsidRPr="00C909DF">
        <w:rPr>
          <w:rFonts w:ascii="Times New Roman" w:hAnsi="Times New Roman"/>
          <w:color w:val="000000"/>
          <w:vertAlign w:val="superscript"/>
        </w:rPr>
        <w:t xml:space="preserve"> </w:t>
      </w:r>
      <w:r w:rsidRPr="00C909DF">
        <w:rPr>
          <w:rFonts w:ascii="Times New Roman" w:hAnsi="Times New Roman"/>
          <w:color w:val="000000"/>
        </w:rPr>
        <w:t xml:space="preserve"> </w:t>
      </w:r>
      <w:hyperlink r:id="rId2" w:history="1">
        <w:r w:rsidRPr="00C909DF">
          <w:rPr>
            <w:rFonts w:ascii="Times New Roman" w:hAnsi="Times New Roman"/>
            <w:color w:val="000000"/>
          </w:rPr>
          <w:t>http://economie.fgov.be/en/disputes/consumer_disputes/Belmed/</w:t>
        </w:r>
      </w:hyperlink>
      <w:r>
        <w:t xml:space="preserve"> .</w:t>
      </w:r>
    </w:p>
  </w:footnote>
  <w:footnote w:id="17">
    <w:p w14:paraId="63609BCF" w14:textId="542575D8" w:rsidR="00507CE3" w:rsidRPr="008803BC" w:rsidRDefault="00507CE3" w:rsidP="00AE627D">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r w:rsidRPr="00E05C9D">
        <w:rPr>
          <w:rFonts w:ascii="Times New Roman" w:hAnsi="Times New Roman"/>
        </w:rPr>
        <w:t>Siehe „</w:t>
      </w:r>
      <w:r w:rsidRPr="00E05C9D">
        <w:rPr>
          <w:rFonts w:ascii="Times New Roman" w:hAnsi="Times New Roman"/>
          <w:i/>
        </w:rPr>
        <w:t>The cost of redress: the lessons to be learned from the PPI mis-selling scandal" </w:t>
      </w:r>
      <w:r w:rsidRPr="00E05C9D">
        <w:rPr>
          <w:rFonts w:ascii="Times New Roman" w:hAnsi="Times New Roman"/>
        </w:rPr>
        <w:t xml:space="preserve">(Citizens Advice Bureau, März 2014), erhältlich unter </w:t>
      </w:r>
      <w:hyperlink r:id="rId3">
        <w:r w:rsidRPr="00E05C9D">
          <w:rPr>
            <w:rStyle w:val="Link"/>
            <w:rFonts w:ascii="Times New Roman" w:hAnsi="Times New Roman"/>
          </w:rPr>
          <w:t>http://www.citizensadvice.org.uk/index/policy/policy_publications/the_cost_of_redress.htm</w:t>
        </w:r>
      </w:hyperlink>
      <w:r>
        <w:rPr>
          <w:rFonts w:ascii="Times New Roman" w:hAnsi="Times New Roman" w:cs="Times New Roman"/>
        </w:rPr>
        <w:t>.</w:t>
      </w:r>
    </w:p>
  </w:footnote>
  <w:footnote w:id="18">
    <w:p w14:paraId="0C464BCA" w14:textId="6F019E5E" w:rsidR="00507CE3" w:rsidRPr="008803BC" w:rsidRDefault="00507CE3" w:rsidP="00AE627D">
      <w:pPr>
        <w:autoSpaceDE w:val="0"/>
        <w:autoSpaceDN w:val="0"/>
        <w:adjustRightInd w:val="0"/>
        <w:spacing w:after="0" w:line="240" w:lineRule="auto"/>
        <w:rPr>
          <w:rFonts w:ascii="Times New Roman" w:hAnsi="Times New Roman" w:cs="Times New Roman"/>
          <w:sz w:val="20"/>
          <w:szCs w:val="20"/>
        </w:rPr>
      </w:pPr>
      <w:r>
        <w:rPr>
          <w:rStyle w:val="Funotenzeichen"/>
          <w:rFonts w:ascii="Times New Roman" w:hAnsi="Times New Roman"/>
          <w:sz w:val="20"/>
        </w:rPr>
        <w:footnoteRef/>
      </w:r>
      <w:r w:rsidRPr="008803BC">
        <w:rPr>
          <w:rFonts w:ascii="Times New Roman" w:hAnsi="Times New Roman"/>
          <w:sz w:val="20"/>
        </w:rPr>
        <w:t xml:space="preserve"> </w:t>
      </w:r>
      <w:proofErr w:type="gramStart"/>
      <w:r>
        <w:rPr>
          <w:rFonts w:ascii="Times New Roman" w:hAnsi="Times New Roman"/>
          <w:sz w:val="20"/>
        </w:rPr>
        <w:t xml:space="preserve">Siehe Quartals- und Jahresberichte des FOS unter </w:t>
      </w:r>
      <w:hyperlink r:id="rId4">
        <w:r>
          <w:rPr>
            <w:rStyle w:val="Link"/>
            <w:rFonts w:ascii="Times New Roman" w:hAnsi="Times New Roman"/>
            <w:sz w:val="20"/>
          </w:rPr>
          <w:t>http://www.financial-ombudsman.org.uk/publications/complaints-data.html</w:t>
        </w:r>
      </w:hyperlink>
      <w:r>
        <w:rPr>
          <w:rFonts w:ascii="Times New Roman" w:hAnsi="Times New Roman"/>
          <w:sz w:val="20"/>
        </w:rPr>
        <w:t>.</w:t>
      </w:r>
      <w:proofErr w:type="gramEnd"/>
      <w:r>
        <w:rPr>
          <w:rFonts w:ascii="Times New Roman" w:hAnsi="Times New Roman"/>
          <w:sz w:val="20"/>
        </w:rPr>
        <w:t xml:space="preserve"> Ein aktueller eigenständiger Bericht über ein systemisches Problem </w:t>
      </w:r>
      <w:proofErr w:type="gramStart"/>
      <w:r>
        <w:rPr>
          <w:rFonts w:ascii="Times New Roman" w:hAnsi="Times New Roman"/>
          <w:sz w:val="20"/>
        </w:rPr>
        <w:t>ist</w:t>
      </w:r>
      <w:proofErr w:type="gramEnd"/>
      <w:r>
        <w:rPr>
          <w:rFonts w:ascii="Times New Roman" w:hAnsi="Times New Roman"/>
          <w:sz w:val="20"/>
        </w:rPr>
        <w:t xml:space="preserve"> „</w:t>
      </w:r>
      <w:r>
        <w:rPr>
          <w:rFonts w:ascii="Times New Roman" w:hAnsi="Times New Roman"/>
          <w:i/>
          <w:sz w:val="20"/>
        </w:rPr>
        <w:t xml:space="preserve">Payday lending: Pieces of the Picture. </w:t>
      </w:r>
      <w:proofErr w:type="gramStart"/>
      <w:r>
        <w:rPr>
          <w:rFonts w:ascii="Times New Roman" w:hAnsi="Times New Roman"/>
          <w:i/>
          <w:sz w:val="20"/>
        </w:rPr>
        <w:t xml:space="preserve">Financial Ombudsman Service insight report" </w:t>
      </w:r>
      <w:r>
        <w:rPr>
          <w:rFonts w:ascii="Times New Roman" w:hAnsi="Times New Roman"/>
          <w:sz w:val="20"/>
        </w:rPr>
        <w:t>(Financial Ombudsman Service, August 2014).</w:t>
      </w:r>
      <w:proofErr w:type="gramEnd"/>
      <w:r>
        <w:rPr>
          <w:rFonts w:ascii="Times New Roman" w:hAnsi="Times New Roman"/>
          <w:sz w:val="20"/>
        </w:rPr>
        <w:t xml:space="preserve"> Der Bericht hob einen Anstieg um 168 % zwischen März 2012 und März 2014 bei Beschwerden über Zahltagkredite hervor (von 296 Beschwerden auf 794), nannte von der FCA bereits ergriffene Maßnahmen und empfahl den Unternehmen verschiedene Maßnahmen operativer Art wie die Vermeidung von negativen Einträgen in Kreditdateien, von schlechtem Kundenservice und schlechter Verwaltung.</w:t>
      </w:r>
    </w:p>
  </w:footnote>
  <w:footnote w:id="19">
    <w:p w14:paraId="7FD633F5" w14:textId="0391CF6A" w:rsidR="00507CE3" w:rsidRPr="008803BC" w:rsidRDefault="00507CE3" w:rsidP="00AE627D">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r w:rsidRPr="00E05C9D">
        <w:rPr>
          <w:rFonts w:ascii="Times New Roman" w:hAnsi="Times New Roman"/>
        </w:rPr>
        <w:t>Siehe C.J.S. Hodges: „</w:t>
      </w:r>
      <w:r w:rsidRPr="00E05C9D">
        <w:rPr>
          <w:rFonts w:ascii="Times New Roman" w:hAnsi="Times New Roman"/>
          <w:i/>
        </w:rPr>
        <w:t>Law and Corporate Behaviour: Integrating Theories of Regulation and Enforcement"</w:t>
      </w:r>
      <w:r w:rsidRPr="00E05C9D">
        <w:rPr>
          <w:rFonts w:ascii="Times New Roman" w:hAnsi="Times New Roman"/>
        </w:rPr>
        <w:t xml:space="preserve"> (Hart Publishing, </w:t>
      </w:r>
      <w:r>
        <w:rPr>
          <w:rFonts w:ascii="Times New Roman" w:hAnsi="Times New Roman"/>
        </w:rPr>
        <w:t xml:space="preserve">erscheint </w:t>
      </w:r>
      <w:r w:rsidRPr="00E05C9D">
        <w:rPr>
          <w:rFonts w:ascii="Times New Roman" w:hAnsi="Times New Roman"/>
        </w:rPr>
        <w:t>in Kürze).</w:t>
      </w:r>
    </w:p>
  </w:footnote>
  <w:footnote w:id="20">
    <w:p w14:paraId="57944B51" w14:textId="51DA7EAF" w:rsidR="00507CE3" w:rsidRPr="008803BC" w:rsidRDefault="00507CE3" w:rsidP="00AE627D">
      <w:pPr>
        <w:pStyle w:val="Funotentext"/>
        <w:rPr>
          <w:rFonts w:ascii="Times New Roman" w:hAnsi="Times New Roman" w:cs="Times New Roman"/>
          <w:b/>
        </w:rPr>
      </w:pPr>
      <w:r>
        <w:rPr>
          <w:rStyle w:val="Funotenzeichen"/>
          <w:rFonts w:ascii="Times New Roman" w:hAnsi="Times New Roman"/>
        </w:rPr>
        <w:footnoteRef/>
      </w:r>
      <w:r w:rsidRPr="008803BC">
        <w:rPr>
          <w:rFonts w:ascii="Times New Roman" w:hAnsi="Times New Roman"/>
        </w:rPr>
        <w:t xml:space="preserve"> </w:t>
      </w:r>
      <w:r w:rsidRPr="00E05C9D">
        <w:rPr>
          <w:rFonts w:ascii="Times New Roman" w:hAnsi="Times New Roman"/>
        </w:rPr>
        <w:t xml:space="preserve">Siehe </w:t>
      </w:r>
      <w:r w:rsidRPr="00E05C9D">
        <w:rPr>
          <w:rFonts w:ascii="Times New Roman" w:hAnsi="Times New Roman"/>
          <w:i/>
        </w:rPr>
        <w:t>TR13/7: „Payment protection insurance complaints: Report on the fairness of medium-sized firms’ decisions and redress</w:t>
      </w:r>
      <w:r w:rsidRPr="00E05C9D">
        <w:rPr>
          <w:rFonts w:ascii="Times New Roman" w:hAnsi="Times New Roman"/>
        </w:rPr>
        <w:t xml:space="preserve">" (Financial Conduct Authority, 2013) unter </w:t>
      </w:r>
      <w:hyperlink r:id="rId5">
        <w:r w:rsidRPr="00E05C9D">
          <w:rPr>
            <w:rStyle w:val="Link"/>
            <w:rFonts w:ascii="Times New Roman" w:hAnsi="Times New Roman"/>
          </w:rPr>
          <w:t>http://www.fca.org.uk/your-fca/documents/thematic-reviews/tr13-7</w:t>
        </w:r>
      </w:hyperlink>
      <w:r w:rsidRPr="00E05C9D">
        <w:rPr>
          <w:rFonts w:ascii="Times New Roman" w:hAnsi="Times New Roman"/>
        </w:rPr>
        <w:t>.</w:t>
      </w:r>
      <w:r w:rsidRPr="008803BC">
        <w:rPr>
          <w:rFonts w:ascii="Times New Roman" w:hAnsi="Times New Roman"/>
        </w:rPr>
        <w:t xml:space="preserve"> </w:t>
      </w:r>
    </w:p>
  </w:footnote>
  <w:footnote w:id="21">
    <w:p w14:paraId="6F1A5271" w14:textId="2105105A" w:rsidR="00507CE3" w:rsidRPr="008803BC" w:rsidRDefault="00507CE3" w:rsidP="00AE627D">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r>
        <w:rPr>
          <w:rFonts w:ascii="Times New Roman" w:hAnsi="Times New Roman"/>
        </w:rPr>
        <w:t>Ein Gericht kann über bestimmte Aspekte von Körperverletzungen oder Todesfällen in einem 2010 geschaffenen abgetrennten Teilverfahren (“partial dispute”) entscheiden: Act of Partial Dispute Proceedings 2010, mit dem die Artikel 1019w bis 1019cc in die niederländische Zivilprozessordnung eingeführt wurden. Diskutiert wird auch ein Gesetzesvorschlag, strittige Rechtsfragen direkt unter Überspringen der Zwischeninstanzen dem obersten Gerichtshof zur bindenden Entscheidung vorzulegen, womit Streitbeilegungen unter dem Class Action Settlement Act 2005 (Gesetz zur Beilegung von Sammelklagen) gefördert würden.</w:t>
      </w:r>
    </w:p>
  </w:footnote>
  <w:footnote w:id="22">
    <w:p w14:paraId="3B94062E" w14:textId="1CA54E47" w:rsidR="00507CE3" w:rsidRPr="008803BC" w:rsidRDefault="00507CE3" w:rsidP="00AE627D">
      <w:pPr>
        <w:pStyle w:val="Funotentext"/>
        <w:rPr>
          <w:rFonts w:ascii="Times New Roman" w:eastAsia="Calibri" w:hAnsi="Times New Roman" w:cs="Times New Roman"/>
          <w:snapToGrid w:val="0"/>
          <w:color w:val="000000"/>
        </w:rPr>
      </w:pPr>
      <w:r>
        <w:rPr>
          <w:rStyle w:val="Funotenzeichen"/>
          <w:rFonts w:ascii="Times New Roman" w:hAnsi="Times New Roman"/>
        </w:rPr>
        <w:footnoteRef/>
      </w:r>
      <w:r w:rsidRPr="008803BC">
        <w:rPr>
          <w:rFonts w:ascii="Times New Roman" w:hAnsi="Times New Roman"/>
        </w:rPr>
        <w:t xml:space="preserve"> </w:t>
      </w:r>
      <w:r>
        <w:rPr>
          <w:rFonts w:ascii="Times New Roman" w:hAnsi="Times New Roman"/>
          <w:snapToGrid w:val="0"/>
          <w:color w:val="000000"/>
        </w:rPr>
        <w:t xml:space="preserve">Empfehlung 98/257/EG der Kommission betreffend </w:t>
      </w:r>
      <w:proofErr w:type="gramStart"/>
      <w:r>
        <w:rPr>
          <w:rFonts w:ascii="Times New Roman" w:hAnsi="Times New Roman"/>
          <w:snapToGrid w:val="0"/>
          <w:color w:val="000000"/>
        </w:rPr>
        <w:t>die</w:t>
      </w:r>
      <w:proofErr w:type="gramEnd"/>
      <w:r>
        <w:rPr>
          <w:rFonts w:ascii="Times New Roman" w:hAnsi="Times New Roman"/>
          <w:snapToGrid w:val="0"/>
          <w:color w:val="000000"/>
        </w:rPr>
        <w:t xml:space="preserve"> Grundsätze für Einrichtungen, die für die außergerichtliche Beilegung von Verbraucherrechtsstreitigkeiten zuständig sind, [1998] ABI. L 155/31; Empfehlung 2001/310/EG der Kommission über die Grundsätze für </w:t>
      </w:r>
      <w:proofErr w:type="gramStart"/>
      <w:r>
        <w:rPr>
          <w:rFonts w:ascii="Times New Roman" w:hAnsi="Times New Roman"/>
          <w:snapToGrid w:val="0"/>
          <w:color w:val="000000"/>
        </w:rPr>
        <w:t>an</w:t>
      </w:r>
      <w:proofErr w:type="gramEnd"/>
      <w:r>
        <w:rPr>
          <w:rFonts w:ascii="Times New Roman" w:hAnsi="Times New Roman"/>
          <w:snapToGrid w:val="0"/>
          <w:color w:val="000000"/>
        </w:rPr>
        <w:t xml:space="preserve"> der einvernehmlichen Beilegung von Verbraucherrechtsstreitigkeiten beteiligte außergerichtliche Einrichtungen, [2001] ABI. </w:t>
      </w:r>
      <w:proofErr w:type="gramStart"/>
      <w:r>
        <w:rPr>
          <w:rFonts w:ascii="Times New Roman" w:hAnsi="Times New Roman"/>
          <w:snapToGrid w:val="0"/>
          <w:color w:val="000000"/>
        </w:rPr>
        <w:t>L 109, 56-61.</w:t>
      </w:r>
      <w:proofErr w:type="gramEnd"/>
    </w:p>
  </w:footnote>
  <w:footnote w:id="23">
    <w:p w14:paraId="3C12820D" w14:textId="3A87F41D" w:rsidR="00507CE3" w:rsidRPr="008803BC" w:rsidRDefault="00507CE3" w:rsidP="00AE627D">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proofErr w:type="gramStart"/>
      <w:r>
        <w:rPr>
          <w:rFonts w:ascii="Times New Roman" w:hAnsi="Times New Roman"/>
        </w:rPr>
        <w:t>Richtlinie 2013/11/EU über die alternative Beilegung verbraucherrechtlicher Streitigkeiten und zur Änderung der Verordnung (EG) Nr. 2006/2004 und der Richtlinie 2009/22/EG (Richtlinie über alternative Streitbeilegung in Verbraucherangelegenheiten), Art.</w:t>
      </w:r>
      <w:proofErr w:type="gramEnd"/>
      <w:r>
        <w:rPr>
          <w:rFonts w:ascii="Times New Roman" w:hAnsi="Times New Roman"/>
        </w:rPr>
        <w:t xml:space="preserve"> 6-11 über die Kriterien (Fachwissen, Unabhängigkeit, Unparteilichkeit, Transparenz, Wirksamkeit, Fairness, Handlungsfreiheit und Rechtmäßigkeit) und Art. </w:t>
      </w:r>
      <w:proofErr w:type="gramStart"/>
      <w:r>
        <w:rPr>
          <w:rFonts w:ascii="Times New Roman" w:hAnsi="Times New Roman"/>
        </w:rPr>
        <w:t>18-20 über</w:t>
      </w:r>
      <w:proofErr w:type="gramEnd"/>
      <w:r>
        <w:rPr>
          <w:rFonts w:ascii="Times New Roman" w:hAnsi="Times New Roman"/>
        </w:rPr>
        <w:t xml:space="preserve"> zuständige Behörden.</w:t>
      </w:r>
    </w:p>
  </w:footnote>
  <w:footnote w:id="24">
    <w:p w14:paraId="2D1404B1" w14:textId="61D89585" w:rsidR="00507CE3" w:rsidRPr="003B7C50" w:rsidRDefault="00507CE3" w:rsidP="00AE627D">
      <w:pPr>
        <w:spacing w:after="0" w:line="240" w:lineRule="auto"/>
        <w:rPr>
          <w:rFonts w:ascii="Times New Roman" w:eastAsia="Times New Roman" w:hAnsi="Times New Roman" w:cs="Times New Roman"/>
          <w:sz w:val="20"/>
          <w:szCs w:val="20"/>
          <w:lang w:val="es-ES"/>
        </w:rPr>
      </w:pPr>
      <w:r>
        <w:rPr>
          <w:rStyle w:val="Funotenzeichen"/>
          <w:rFonts w:ascii="Times New Roman" w:hAnsi="Times New Roman"/>
          <w:sz w:val="20"/>
        </w:rPr>
        <w:footnoteRef/>
      </w:r>
      <w:r w:rsidRPr="008803BC">
        <w:rPr>
          <w:rFonts w:ascii="Times New Roman" w:hAnsi="Times New Roman"/>
          <w:sz w:val="20"/>
        </w:rPr>
        <w:t xml:space="preserve"> </w:t>
      </w:r>
      <w:r w:rsidRPr="00E05C9D">
        <w:rPr>
          <w:rFonts w:ascii="Times New Roman" w:hAnsi="Times New Roman"/>
          <w:sz w:val="20"/>
        </w:rPr>
        <w:t>Siehe C. Hodges: „Consumer Redress: Ideology and Empiricism" erschienen in K. Purnhagen and P. Rott (Hrsg.): „</w:t>
      </w:r>
      <w:r w:rsidRPr="00E05C9D">
        <w:rPr>
          <w:rFonts w:ascii="Times New Roman" w:hAnsi="Times New Roman"/>
          <w:i/>
          <w:sz w:val="20"/>
        </w:rPr>
        <w:t xml:space="preserve">Varieties of European Economic Law and </w:t>
      </w:r>
      <w:r w:rsidRPr="00E0156D">
        <w:rPr>
          <w:rFonts w:ascii="Times New Roman" w:hAnsi="Times New Roman"/>
          <w:i/>
          <w:sz w:val="20"/>
          <w:szCs w:val="20"/>
        </w:rPr>
        <w:t>Regulation.</w:t>
      </w:r>
      <w:r w:rsidRPr="009C3944">
        <w:rPr>
          <w:rFonts w:ascii="Times New Roman" w:hAnsi="Times New Roman"/>
          <w:sz w:val="20"/>
          <w:szCs w:val="20"/>
        </w:rPr>
        <w:t xml:space="preserve"> </w:t>
      </w:r>
      <w:proofErr w:type="gramStart"/>
      <w:r w:rsidRPr="00C909DF">
        <w:rPr>
          <w:rFonts w:ascii="Times New Roman" w:hAnsi="Times New Roman"/>
          <w:i/>
          <w:sz w:val="20"/>
          <w:szCs w:val="20"/>
        </w:rPr>
        <w:t>Festschrift for Hans Micklitz</w:t>
      </w:r>
      <w:r w:rsidRPr="00E0156D">
        <w:rPr>
          <w:rFonts w:ascii="Times New Roman" w:hAnsi="Times New Roman"/>
          <w:sz w:val="20"/>
          <w:szCs w:val="20"/>
        </w:rPr>
        <w:t>" (Sp</w:t>
      </w:r>
      <w:r w:rsidRPr="009C3944">
        <w:rPr>
          <w:rFonts w:ascii="Times New Roman" w:hAnsi="Times New Roman"/>
          <w:sz w:val="20"/>
          <w:szCs w:val="20"/>
        </w:rPr>
        <w:t>ringer, 2014).</w:t>
      </w:r>
      <w:proofErr w:type="gramEnd"/>
    </w:p>
  </w:footnote>
  <w:footnote w:id="25">
    <w:p w14:paraId="7404B737" w14:textId="6A6ADF0B" w:rsidR="00507CE3" w:rsidRPr="000939C7" w:rsidRDefault="00507CE3" w:rsidP="00AE627D">
      <w:pPr>
        <w:pStyle w:val="Funotentext"/>
        <w:rPr>
          <w:rFonts w:ascii="Times New Roman" w:hAnsi="Times New Roman"/>
        </w:rPr>
      </w:pPr>
      <w:r>
        <w:rPr>
          <w:rStyle w:val="Funotenzeichen"/>
          <w:rFonts w:ascii="Times New Roman" w:hAnsi="Times New Roman"/>
        </w:rPr>
        <w:footnoteRef/>
      </w:r>
      <w:r w:rsidRPr="008803BC">
        <w:rPr>
          <w:rFonts w:ascii="Times New Roman" w:hAnsi="Times New Roman"/>
        </w:rPr>
        <w:t xml:space="preserve"> </w:t>
      </w:r>
      <w:r>
        <w:rPr>
          <w:rFonts w:ascii="Times New Roman" w:hAnsi="Times New Roman"/>
        </w:rPr>
        <w:t>In zwei verwandten Berichten: Public Affairs Standing Committee: „</w:t>
      </w:r>
      <w:r>
        <w:rPr>
          <w:rFonts w:ascii="Times New Roman" w:hAnsi="Times New Roman"/>
          <w:i/>
        </w:rPr>
        <w:t xml:space="preserve">More complaints please!" </w:t>
      </w:r>
      <w:r>
        <w:rPr>
          <w:rFonts w:ascii="Times New Roman" w:hAnsi="Times New Roman"/>
        </w:rPr>
        <w:t xml:space="preserve">zwölfter Sitzungsbericht 2013–14, HC 229, 14. </w:t>
      </w:r>
      <w:r w:rsidRPr="00D62148">
        <w:rPr>
          <w:rFonts w:ascii="Times New Roman" w:hAnsi="Times New Roman"/>
        </w:rPr>
        <w:t>April 2014; und Public Affairs Standing Committee: „</w:t>
      </w:r>
      <w:r w:rsidRPr="00D62148">
        <w:rPr>
          <w:rFonts w:ascii="Times New Roman" w:hAnsi="Times New Roman"/>
          <w:i/>
        </w:rPr>
        <w:t>Time for a People's Ombudsman Service</w:t>
      </w:r>
      <w:r w:rsidRPr="00D62148">
        <w:rPr>
          <w:rFonts w:ascii="Times New Roman" w:hAnsi="Times New Roman"/>
        </w:rPr>
        <w:t xml:space="preserve">" </w:t>
      </w:r>
      <w:r>
        <w:rPr>
          <w:rFonts w:ascii="Times New Roman" w:hAnsi="Times New Roman"/>
        </w:rPr>
        <w:t>v</w:t>
      </w:r>
      <w:r w:rsidRPr="00D62148">
        <w:rPr>
          <w:rFonts w:ascii="Times New Roman" w:hAnsi="Times New Roman"/>
        </w:rPr>
        <w:t xml:space="preserve">ierzehnter Sitzungsbericht 2013–14, HC 655, 28. </w:t>
      </w:r>
      <w:r w:rsidRPr="00E2077B">
        <w:rPr>
          <w:rFonts w:ascii="Times New Roman" w:hAnsi="Times New Roman"/>
        </w:rPr>
        <w:t>April 2014.</w:t>
      </w:r>
    </w:p>
  </w:footnote>
  <w:footnote w:id="26">
    <w:p w14:paraId="4574E386" w14:textId="0B4A8275" w:rsidR="00507CE3" w:rsidRPr="00E55ACE" w:rsidRDefault="00507CE3">
      <w:pPr>
        <w:pStyle w:val="Funotentext"/>
        <w:rPr>
          <w:rFonts w:ascii="Times New Roman" w:hAnsi="Times New Roman"/>
        </w:rPr>
      </w:pPr>
      <w:r>
        <w:rPr>
          <w:rStyle w:val="Funotenzeichen"/>
        </w:rPr>
        <w:footnoteRef/>
      </w:r>
      <w:r>
        <w:t xml:space="preserve"> </w:t>
      </w:r>
      <w:r w:rsidRPr="00E55ACE">
        <w:rPr>
          <w:rFonts w:ascii="Times New Roman" w:hAnsi="Times New Roman"/>
        </w:rPr>
        <w:t xml:space="preserve">Parliamentary and Health Ombudsman Service - </w:t>
      </w:r>
      <w:hyperlink r:id="rId6" w:history="1">
        <w:r w:rsidRPr="00E55ACE">
          <w:rPr>
            <w:rFonts w:ascii="Times New Roman" w:hAnsi="Times New Roman"/>
          </w:rPr>
          <w:t>http://www.ombudsman.org.uk/about-us</w:t>
        </w:r>
      </w:hyperlink>
      <w:proofErr w:type="gramStart"/>
      <w:r w:rsidRPr="00E55ACE">
        <w:rPr>
          <w:rFonts w:ascii="Times New Roman" w:hAnsi="Times New Roman"/>
        </w:rPr>
        <w:t xml:space="preserve"> .</w:t>
      </w:r>
      <w:proofErr w:type="gramEnd"/>
    </w:p>
  </w:footnote>
  <w:footnote w:id="27">
    <w:p w14:paraId="06108F07" w14:textId="1D91F627" w:rsidR="00507CE3" w:rsidRPr="00E55ACE" w:rsidRDefault="00507CE3">
      <w:pPr>
        <w:pStyle w:val="Funotentext"/>
        <w:rPr>
          <w:rFonts w:ascii="Times New Roman" w:hAnsi="Times New Roman"/>
        </w:rPr>
      </w:pPr>
      <w:r>
        <w:rPr>
          <w:rStyle w:val="Funotenzeichen"/>
        </w:rPr>
        <w:footnoteRef/>
      </w:r>
      <w:r>
        <w:t xml:space="preserve"> </w:t>
      </w:r>
      <w:r w:rsidRPr="00E55ACE">
        <w:rPr>
          <w:rFonts w:ascii="Times New Roman" w:hAnsi="Times New Roman"/>
        </w:rPr>
        <w:t xml:space="preserve">Local Government Ombudsman – eine Stelle für Beschwerden gegen Gemeindeverwaltungen und Träger der Sozialversicherung / Pflege </w:t>
      </w:r>
      <w:proofErr w:type="gramStart"/>
      <w:r w:rsidRPr="00E55ACE">
        <w:rPr>
          <w:rFonts w:ascii="Times New Roman" w:hAnsi="Times New Roman"/>
        </w:rPr>
        <w:t xml:space="preserve">-  </w:t>
      </w:r>
      <w:proofErr w:type="gramEnd"/>
      <w:r w:rsidRPr="00E55ACE">
        <w:rPr>
          <w:rFonts w:ascii="Times New Roman" w:hAnsi="Times New Roman"/>
        </w:rPr>
        <w:fldChar w:fldCharType="begin"/>
      </w:r>
      <w:r w:rsidRPr="00E55ACE">
        <w:rPr>
          <w:rFonts w:ascii="Times New Roman" w:hAnsi="Times New Roman"/>
        </w:rPr>
        <w:instrText xml:space="preserve"> HYPERLINK "http://www.lgo.org.uk" </w:instrText>
      </w:r>
      <w:r w:rsidRPr="00E55ACE">
        <w:rPr>
          <w:rFonts w:ascii="Times New Roman" w:hAnsi="Times New Roman"/>
        </w:rPr>
      </w:r>
      <w:r w:rsidRPr="00E55ACE">
        <w:rPr>
          <w:rFonts w:ascii="Times New Roman" w:hAnsi="Times New Roman"/>
        </w:rPr>
        <w:fldChar w:fldCharType="separate"/>
      </w:r>
      <w:r w:rsidRPr="00E55ACE">
        <w:rPr>
          <w:rFonts w:ascii="Times New Roman" w:hAnsi="Times New Roman"/>
        </w:rPr>
        <w:t>http://www.lgo.org.uk</w:t>
      </w:r>
      <w:r w:rsidRPr="00E55ACE">
        <w:rPr>
          <w:rFonts w:ascii="Times New Roman" w:hAnsi="Times New Roman"/>
        </w:rPr>
        <w:fldChar w:fldCharType="end"/>
      </w:r>
      <w:r w:rsidRPr="00E55ACE">
        <w:rPr>
          <w:rFonts w:ascii="Times New Roman" w:hAnsi="Times New Roman"/>
        </w:rPr>
        <w:t>.</w:t>
      </w:r>
    </w:p>
  </w:footnote>
  <w:footnote w:id="28">
    <w:p w14:paraId="73F5ACAB" w14:textId="4573D569" w:rsidR="00507CE3" w:rsidRPr="008803BC" w:rsidRDefault="00507CE3" w:rsidP="00AE627D">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r>
        <w:rPr>
          <w:rFonts w:ascii="Times New Roman" w:hAnsi="Times New Roman"/>
        </w:rPr>
        <w:t xml:space="preserve">Zum Beispiel </w:t>
      </w:r>
      <w:proofErr w:type="gramStart"/>
      <w:r>
        <w:rPr>
          <w:rFonts w:ascii="Times New Roman" w:hAnsi="Times New Roman"/>
        </w:rPr>
        <w:t>ist</w:t>
      </w:r>
      <w:proofErr w:type="gramEnd"/>
      <w:r>
        <w:rPr>
          <w:rFonts w:ascii="Times New Roman" w:hAnsi="Times New Roman"/>
        </w:rPr>
        <w:t xml:space="preserve"> der Zugang zum Parliamentary and Health Service Ombudsman (PHSO) über Parlamentsabgeordnete veraltet und so ein unnötiges Hindernis. </w:t>
      </w:r>
      <w:proofErr w:type="gramStart"/>
      <w:r>
        <w:rPr>
          <w:rFonts w:ascii="Times New Roman" w:hAnsi="Times New Roman"/>
        </w:rPr>
        <w:t>Der PHSO akzeptiert weiter nur eine begrenzte Anzahl von Angelegenheiten zur Untersuchung, wohingegen ein zukünftiges System rund um wirksame Beratungs- und Beschwerdeverarbeitungsverfahren innerhalb aller öffentlichen Einrichtungen aufgebaut werden sollte, das von einer offenen Ombudsstelle unterstützt werden sollte.</w:t>
      </w:r>
      <w:proofErr w:type="gramEnd"/>
    </w:p>
  </w:footnote>
  <w:footnote w:id="29">
    <w:p w14:paraId="32EE0758" w14:textId="2BF3FB8E" w:rsidR="00507CE3" w:rsidRPr="008803BC" w:rsidRDefault="00507CE3" w:rsidP="00AE627D">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r>
        <w:rPr>
          <w:rFonts w:ascii="Times New Roman" w:hAnsi="Times New Roman"/>
        </w:rPr>
        <w:t>Dies hat über 40 Jahre lang gut in Neuseeland und den nordischen Ländern funktioniert – ebenso seit 2006 für medizinische Klagen in Frankreich und wird schon seit langem von führenden Rechtswissenschaftlern befürwortet: P. Cane: „</w:t>
      </w:r>
      <w:r>
        <w:rPr>
          <w:rFonts w:ascii="Times New Roman" w:hAnsi="Times New Roman"/>
          <w:i/>
        </w:rPr>
        <w:t xml:space="preserve">Atiyah’s Accidents, Compensation and the Law" </w:t>
      </w:r>
      <w:r>
        <w:rPr>
          <w:rFonts w:ascii="Times New Roman" w:hAnsi="Times New Roman"/>
        </w:rPr>
        <w:t>(Cambridge, 8ed, 2012); P.S. Atiyah: „</w:t>
      </w:r>
      <w:r>
        <w:rPr>
          <w:rFonts w:ascii="Times New Roman" w:hAnsi="Times New Roman"/>
          <w:i/>
        </w:rPr>
        <w:t>The Damages Lottery"</w:t>
      </w:r>
      <w:r>
        <w:rPr>
          <w:rFonts w:ascii="Times New Roman" w:hAnsi="Times New Roman"/>
        </w:rPr>
        <w:t xml:space="preserve"> (Hart, 1997).</w:t>
      </w:r>
      <w:r w:rsidRPr="008803BC">
        <w:rPr>
          <w:rFonts w:ascii="Times New Roman" w:hAnsi="Times New Roman"/>
        </w:rPr>
        <w:t xml:space="preserve"> </w:t>
      </w:r>
    </w:p>
  </w:footnote>
  <w:footnote w:id="30">
    <w:p w14:paraId="709C921C" w14:textId="4C5D857C" w:rsidR="00507CE3" w:rsidRPr="008803BC" w:rsidRDefault="00507CE3" w:rsidP="00AE627D">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r>
        <w:rPr>
          <w:rFonts w:ascii="Times New Roman" w:hAnsi="Times New Roman"/>
        </w:rPr>
        <w:t>Zusätzlich sollten, um den Problemen mit den PIP-Brustimplantaten Rechnung zu tragen, private Anbieter und Hersteller ermutigt werden, nach Maßgabe der Investor Protection Funds (Anlegerschutz-Fonds), langlaufende wechselseitige Versicherungslösungen für die seltenen Fälle zu entwickeln, in denen ein privater Anbieter insolvent wird oder unzureichend versichert ist.</w:t>
      </w:r>
    </w:p>
  </w:footnote>
  <w:footnote w:id="31">
    <w:p w14:paraId="419E1F87" w14:textId="626EC64C" w:rsidR="00507CE3" w:rsidRPr="008803BC" w:rsidRDefault="00507CE3" w:rsidP="005368B3">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r>
        <w:rPr>
          <w:rFonts w:ascii="Times New Roman" w:hAnsi="Times New Roman"/>
        </w:rPr>
        <w:t xml:space="preserve">Die Angst vor Anschuldigungen </w:t>
      </w:r>
      <w:proofErr w:type="gramStart"/>
      <w:r>
        <w:rPr>
          <w:rFonts w:ascii="Times New Roman" w:hAnsi="Times New Roman"/>
        </w:rPr>
        <w:t>oder</w:t>
      </w:r>
      <w:proofErr w:type="gramEnd"/>
      <w:r>
        <w:rPr>
          <w:rFonts w:ascii="Times New Roman" w:hAnsi="Times New Roman"/>
        </w:rPr>
        <w:t xml:space="preserve"> Haftung ist ein erhebliches Hindernis für die Meldung von Unfällen und Beinaheunfällen in Gesundheitssystemen. Dies führt dazu, dass wichtige Sicherheitsinformationen nicht erfasst werden und verhindert, </w:t>
      </w:r>
      <w:proofErr w:type="gramStart"/>
      <w:r>
        <w:rPr>
          <w:rFonts w:ascii="Times New Roman" w:hAnsi="Times New Roman"/>
        </w:rPr>
        <w:t>dass</w:t>
      </w:r>
      <w:proofErr w:type="gramEnd"/>
      <w:r>
        <w:rPr>
          <w:rFonts w:ascii="Times New Roman" w:hAnsi="Times New Roman"/>
        </w:rPr>
        <w:t xml:space="preserve"> eine offene Lernkultur erreicht wird. Die Notwendigkeit, den Ansatz grundlegend zu verändern, wurde bereits vor 15 Jahren von Organisationen wie der CEPOD (</w:t>
      </w:r>
      <w:r w:rsidRPr="00C909DF">
        <w:rPr>
          <w:rFonts w:ascii="Times New Roman" w:hAnsi="Times New Roman"/>
        </w:rPr>
        <w:t>Confidential Enquiry into Peri-operative Deaths</w:t>
      </w:r>
      <w:r>
        <w:rPr>
          <w:rFonts w:ascii="Times New Roman" w:hAnsi="Times New Roman"/>
        </w:rPr>
        <w:t xml:space="preserve"> - </w:t>
      </w:r>
      <w:hyperlink r:id="rId7" w:history="1">
        <w:r w:rsidRPr="00072F5C">
          <w:rPr>
            <w:rStyle w:val="Link"/>
            <w:rFonts w:ascii="Times New Roman" w:hAnsi="Times New Roman"/>
          </w:rPr>
          <w:t>http://www.ncepod.org.uk</w:t>
        </w:r>
      </w:hyperlink>
      <w:proofErr w:type="gramStart"/>
      <w:r>
        <w:rPr>
          <w:rFonts w:ascii="Times New Roman" w:hAnsi="Times New Roman"/>
        </w:rPr>
        <w:t xml:space="preserve"> )</w:t>
      </w:r>
      <w:proofErr w:type="gramEnd"/>
      <w:r>
        <w:rPr>
          <w:rFonts w:ascii="Times New Roman" w:hAnsi="Times New Roman"/>
        </w:rPr>
        <w:t xml:space="preserve"> verstanden, und dieser Ansatz wird nun vom obersten Gesundheitsbeamten Prof. Bruce Keogh, mit seinem Schwerpunkt auf Audits zu klinischen Behandlungsergebnissen verfochten. </w:t>
      </w:r>
      <w:proofErr w:type="gramStart"/>
      <w:r>
        <w:rPr>
          <w:rFonts w:ascii="Times New Roman" w:hAnsi="Times New Roman"/>
        </w:rPr>
        <w:t>Dieses Konzept wurde, ebenso wie die RCS-Initiative zur Veröffentlichung der individuellen Ergebnisse von Klinikern, von Prof. Norman Williams und David Dalton in ihrer Veröffentlichung von 2014 „</w:t>
      </w:r>
      <w:r>
        <w:rPr>
          <w:rFonts w:ascii="Times New Roman" w:hAnsi="Times New Roman"/>
          <w:i/>
        </w:rPr>
        <w:t>Duty of Candour"</w:t>
      </w:r>
      <w:r>
        <w:rPr>
          <w:rFonts w:ascii="Times New Roman" w:hAnsi="Times New Roman"/>
        </w:rPr>
        <w:t xml:space="preserve"> weitergeführt.</w:t>
      </w:r>
      <w:proofErr w:type="gramEnd"/>
    </w:p>
  </w:footnote>
  <w:footnote w:id="32">
    <w:p w14:paraId="6A2C527C" w14:textId="648FCAD1" w:rsidR="00507CE3" w:rsidRPr="008803BC" w:rsidRDefault="00507CE3" w:rsidP="00AE627D">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r w:rsidRPr="00E2077B">
        <w:t>„</w:t>
      </w:r>
      <w:r w:rsidRPr="00E2077B">
        <w:rPr>
          <w:rFonts w:ascii="Times New Roman" w:hAnsi="Times New Roman"/>
          <w:i/>
        </w:rPr>
        <w:t>The Compensation Myth</w:t>
      </w:r>
      <w:r w:rsidRPr="00E2077B">
        <w:rPr>
          <w:rFonts w:ascii="Times New Roman" w:hAnsi="Times New Roman"/>
        </w:rPr>
        <w:t xml:space="preserve">" (Trades Union Congress, April 2014), erhältlich unter </w:t>
      </w:r>
      <w:hyperlink r:id="rId8">
        <w:r w:rsidRPr="00E2077B">
          <w:rPr>
            <w:rStyle w:val="Link"/>
            <w:rFonts w:ascii="Times New Roman" w:hAnsi="Times New Roman"/>
          </w:rPr>
          <w:t>http://www.tuc.org.uk/sites/default/files/extras/compensationmyth.pdf</w:t>
        </w:r>
      </w:hyperlink>
      <w:r>
        <w:rPr>
          <w:rStyle w:val="Link"/>
          <w:rFonts w:ascii="Times New Roman" w:hAnsi="Times New Roman"/>
        </w:rPr>
        <w:t>.</w:t>
      </w:r>
    </w:p>
  </w:footnote>
  <w:footnote w:id="33">
    <w:p w14:paraId="41655416" w14:textId="63CB08DC" w:rsidR="00507CE3" w:rsidRPr="008803BC" w:rsidRDefault="00507CE3" w:rsidP="00AE627D">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proofErr w:type="gramStart"/>
      <w:r w:rsidRPr="007B7908">
        <w:rPr>
          <w:rFonts w:ascii="Times New Roman" w:hAnsi="Times New Roman"/>
        </w:rPr>
        <w:t>„</w:t>
      </w:r>
      <w:r w:rsidRPr="007B7908">
        <w:rPr>
          <w:rFonts w:ascii="Times New Roman" w:hAnsi="Times New Roman"/>
          <w:i/>
        </w:rPr>
        <w:t xml:space="preserve">Occupational Health Statistics Bulletin" </w:t>
      </w:r>
      <w:r w:rsidRPr="007B7908">
        <w:rPr>
          <w:rFonts w:ascii="Times New Roman" w:hAnsi="Times New Roman"/>
        </w:rPr>
        <w:t>(</w:t>
      </w:r>
      <w:r>
        <w:rPr>
          <w:rFonts w:ascii="Times New Roman" w:hAnsi="Times New Roman"/>
        </w:rPr>
        <w:t>Mitteilungsblatt über</w:t>
      </w:r>
      <w:r w:rsidRPr="007B7908">
        <w:rPr>
          <w:rFonts w:ascii="Times New Roman" w:hAnsi="Times New Roman"/>
        </w:rPr>
        <w:t xml:space="preserve"> Statistik zur Gesundheit am Arbeitsplatz), 2003/04, HSC, 2004.</w:t>
      </w:r>
      <w:proofErr w:type="gramEnd"/>
    </w:p>
  </w:footnote>
  <w:footnote w:id="34">
    <w:p w14:paraId="67579F30" w14:textId="03F1A84B" w:rsidR="00507CE3" w:rsidRPr="008803BC" w:rsidRDefault="00507CE3" w:rsidP="00AE627D">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r>
        <w:rPr>
          <w:rFonts w:ascii="Times New Roman" w:hAnsi="Times New Roman"/>
        </w:rPr>
        <w:t xml:space="preserve">Britischer Verband der Versicherungsgesellschaften (ABI), zitiert im britischen Magazin </w:t>
      </w:r>
      <w:r>
        <w:rPr>
          <w:rFonts w:ascii="Times New Roman" w:hAnsi="Times New Roman"/>
          <w:i/>
        </w:rPr>
        <w:t>Hazards</w:t>
      </w:r>
      <w:r>
        <w:rPr>
          <w:rFonts w:ascii="Times New Roman" w:hAnsi="Times New Roman"/>
        </w:rPr>
        <w:t xml:space="preserve"> im Mai 2005.</w:t>
      </w:r>
    </w:p>
  </w:footnote>
  <w:footnote w:id="35">
    <w:p w14:paraId="2782F46B" w14:textId="5AF1DADC" w:rsidR="00507CE3" w:rsidRPr="008803BC" w:rsidRDefault="00507CE3" w:rsidP="00AE627D">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proofErr w:type="gramStart"/>
      <w:r>
        <w:rPr>
          <w:rFonts w:ascii="Times New Roman" w:hAnsi="Times New Roman"/>
        </w:rPr>
        <w:t>„Work place Compensation" (Greenspan Bergman Bericht für ABI, 2002).</w:t>
      </w:r>
      <w:proofErr w:type="gramEnd"/>
    </w:p>
  </w:footnote>
  <w:footnote w:id="36">
    <w:p w14:paraId="65E769A3" w14:textId="658E0BC8" w:rsidR="00507CE3" w:rsidRPr="008803BC" w:rsidRDefault="00507CE3" w:rsidP="00AE627D">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proofErr w:type="gramStart"/>
      <w:r>
        <w:rPr>
          <w:rFonts w:ascii="Times New Roman" w:hAnsi="Times New Roman"/>
        </w:rPr>
        <w:t>DWP-Bericht über eine Pflichtversicherung zur Arbeitgeberhaftpflicht (Employers’ Liability Compulsory Insurance - ELCI), „First Stage Report".</w:t>
      </w:r>
      <w:proofErr w:type="gramEnd"/>
    </w:p>
  </w:footnote>
  <w:footnote w:id="37">
    <w:p w14:paraId="55CA58EC" w14:textId="7E668908" w:rsidR="00507CE3" w:rsidRPr="00E55ACE" w:rsidRDefault="00507CE3" w:rsidP="00E55ACE">
      <w:pPr>
        <w:widowControl w:val="0"/>
        <w:autoSpaceDE w:val="0"/>
        <w:autoSpaceDN w:val="0"/>
        <w:adjustRightInd w:val="0"/>
        <w:spacing w:after="0" w:line="240" w:lineRule="auto"/>
        <w:rPr>
          <w:rFonts w:ascii="Times New Roman" w:hAnsi="Times New Roman"/>
        </w:rPr>
      </w:pPr>
      <w:r>
        <w:rPr>
          <w:rStyle w:val="Funotenzeichen"/>
        </w:rPr>
        <w:footnoteRef/>
      </w:r>
      <w:r>
        <w:t xml:space="preserve"> </w:t>
      </w:r>
      <w:r w:rsidRPr="00E55ACE">
        <w:rPr>
          <w:rFonts w:ascii="Times New Roman" w:hAnsi="Times New Roman"/>
          <w:sz w:val="20"/>
          <w:szCs w:val="20"/>
        </w:rPr>
        <w:t xml:space="preserve">Acas (Advisory, Conciliation and Arbitration Service) </w:t>
      </w:r>
      <w:r>
        <w:rPr>
          <w:rFonts w:ascii="Times New Roman" w:hAnsi="Times New Roman"/>
          <w:sz w:val="20"/>
          <w:szCs w:val="20"/>
        </w:rPr>
        <w:t xml:space="preserve">informiert kostenlos und neutral sowohl Arbeitgeber </w:t>
      </w:r>
      <w:proofErr w:type="gramStart"/>
      <w:r>
        <w:rPr>
          <w:rFonts w:ascii="Times New Roman" w:hAnsi="Times New Roman"/>
          <w:sz w:val="20"/>
          <w:szCs w:val="20"/>
        </w:rPr>
        <w:t>als</w:t>
      </w:r>
      <w:proofErr w:type="gramEnd"/>
      <w:r>
        <w:rPr>
          <w:rFonts w:ascii="Times New Roman" w:hAnsi="Times New Roman"/>
          <w:sz w:val="20"/>
          <w:szCs w:val="20"/>
        </w:rPr>
        <w:t xml:space="preserve"> auch Arbeitnehmer über alle Aspekte von Arbeitsverhältnissen und Arbeitsrecht. </w:t>
      </w:r>
      <w:proofErr w:type="gramStart"/>
      <w:r>
        <w:rPr>
          <w:rFonts w:ascii="Times New Roman" w:hAnsi="Times New Roman"/>
          <w:sz w:val="20"/>
          <w:szCs w:val="20"/>
        </w:rPr>
        <w:t>Sie setzen sich für gute Beziehungen zwischen Arbeitgebern und Arbeitnehmern ein, in denen sie einen wichtigen geschäftlichen Erfolgsfaktor sehen.</w:t>
      </w:r>
      <w:proofErr w:type="gramEnd"/>
      <w:r>
        <w:rPr>
          <w:rFonts w:ascii="Times New Roman" w:hAnsi="Times New Roman"/>
          <w:sz w:val="20"/>
          <w:szCs w:val="20"/>
        </w:rPr>
        <w:t xml:space="preserve"> Wenn dies einmal nicht gelingt, steht ACAS </w:t>
      </w:r>
      <w:proofErr w:type="gramStart"/>
      <w:r>
        <w:rPr>
          <w:rFonts w:ascii="Times New Roman" w:hAnsi="Times New Roman"/>
          <w:sz w:val="20"/>
          <w:szCs w:val="20"/>
        </w:rPr>
        <w:t>als</w:t>
      </w:r>
      <w:proofErr w:type="gramEnd"/>
      <w:r>
        <w:rPr>
          <w:rFonts w:ascii="Times New Roman" w:hAnsi="Times New Roman"/>
          <w:sz w:val="20"/>
          <w:szCs w:val="20"/>
        </w:rPr>
        <w:t xml:space="preserve"> Schlichtungsstelle bereit um dabei zu helfen Arbeitsplatzprobleme zu lösen.</w:t>
      </w:r>
      <w:r w:rsidRPr="00E55ACE">
        <w:rPr>
          <w:rFonts w:ascii="Times New Roman" w:hAnsi="Times New Roman"/>
          <w:sz w:val="20"/>
          <w:szCs w:val="20"/>
        </w:rPr>
        <w:t xml:space="preserve"> </w:t>
      </w:r>
      <w:r>
        <w:rPr>
          <w:rFonts w:ascii="Times New Roman" w:hAnsi="Times New Roman"/>
          <w:sz w:val="20"/>
          <w:szCs w:val="20"/>
        </w:rPr>
        <w:t xml:space="preserve"> </w:t>
      </w:r>
      <w:proofErr w:type="gramStart"/>
      <w:r>
        <w:rPr>
          <w:rFonts w:ascii="Times New Roman" w:hAnsi="Times New Roman"/>
          <w:sz w:val="20"/>
          <w:szCs w:val="20"/>
        </w:rPr>
        <w:t>ACAS bietet auch kostengünstige, hochqualitative Ausbildung und Beratung für Arbeitgeber an.</w:t>
      </w:r>
      <w:proofErr w:type="gramEnd"/>
      <w:r>
        <w:rPr>
          <w:rFonts w:ascii="Times New Roman" w:hAnsi="Times New Roman"/>
          <w:sz w:val="20"/>
          <w:szCs w:val="20"/>
        </w:rPr>
        <w:t xml:space="preserve">  </w:t>
      </w:r>
      <w:proofErr w:type="gramStart"/>
      <w:r>
        <w:rPr>
          <w:rFonts w:ascii="Times New Roman" w:hAnsi="Times New Roman"/>
          <w:sz w:val="20"/>
          <w:szCs w:val="20"/>
        </w:rPr>
        <w:t>Der Erfahrungsschatz von ACAS stützt sich auf millionenfache Kontakte mit Arbeitgebern und Arbeitnehmern jedes Jahr.</w:t>
      </w:r>
      <w:proofErr w:type="gramEnd"/>
      <w:r>
        <w:rPr>
          <w:rFonts w:ascii="Times New Roman" w:hAnsi="Times New Roman"/>
          <w:sz w:val="20"/>
          <w:szCs w:val="20"/>
        </w:rPr>
        <w:t xml:space="preserve">  Die maßgeblichen Grundlagen finden sich unter</w:t>
      </w:r>
      <w:r w:rsidRPr="00E55ACE">
        <w:rPr>
          <w:rFonts w:ascii="Times New Roman" w:hAnsi="Times New Roman"/>
          <w:sz w:val="20"/>
          <w:szCs w:val="20"/>
        </w:rPr>
        <w:t> </w:t>
      </w:r>
      <w:hyperlink r:id="rId9" w:history="1">
        <w:r w:rsidRPr="00E55ACE">
          <w:rPr>
            <w:rFonts w:ascii="Times New Roman" w:hAnsi="Times New Roman"/>
            <w:sz w:val="20"/>
            <w:szCs w:val="20"/>
          </w:rPr>
          <w:t>independent Council</w:t>
        </w:r>
      </w:hyperlink>
      <w:r w:rsidRPr="00E55ACE">
        <w:rPr>
          <w:rFonts w:ascii="Times New Roman" w:hAnsi="Times New Roman"/>
          <w:sz w:val="20"/>
          <w:szCs w:val="20"/>
        </w:rPr>
        <w:t xml:space="preserve">, </w:t>
      </w:r>
      <w:r>
        <w:rPr>
          <w:rFonts w:ascii="Times New Roman" w:hAnsi="Times New Roman"/>
          <w:sz w:val="20"/>
          <w:szCs w:val="20"/>
        </w:rPr>
        <w:t xml:space="preserve">einschließlich einer Vertretung der Arbeitgeber- und Arbeitnehmerorganisationen und Arbeitsexperten. </w:t>
      </w:r>
    </w:p>
  </w:footnote>
  <w:footnote w:id="38">
    <w:p w14:paraId="79CC77F7" w14:textId="49C4F063" w:rsidR="00507CE3" w:rsidRPr="008803BC" w:rsidRDefault="00507CE3" w:rsidP="00AE627D">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r w:rsidRPr="00E05C9D">
        <w:rPr>
          <w:rFonts w:ascii="Times New Roman" w:hAnsi="Times New Roman"/>
          <w:i/>
        </w:rPr>
        <w:t>„Tribunals Statistics Quarterly: April to June 2014"</w:t>
      </w:r>
      <w:r w:rsidRPr="00E05C9D">
        <w:rPr>
          <w:rFonts w:ascii="Times New Roman" w:hAnsi="Times New Roman"/>
        </w:rPr>
        <w:t xml:space="preserve"> (Ministry of Justice, 11. </w:t>
      </w:r>
      <w:proofErr w:type="gramStart"/>
      <w:r>
        <w:rPr>
          <w:rFonts w:ascii="Times New Roman" w:hAnsi="Times New Roman"/>
        </w:rPr>
        <w:t xml:space="preserve">September 2014), unter </w:t>
      </w:r>
      <w:hyperlink r:id="rId10">
        <w:r>
          <w:rPr>
            <w:rStyle w:val="Link"/>
            <w:rFonts w:ascii="Times New Roman" w:hAnsi="Times New Roman"/>
          </w:rPr>
          <w:t>https://www.gov.uk/government/uploads/system/uploads/attachment_data/file/352914/tribunal-statistics-quarterly-april-june-2014.pdf</w:t>
        </w:r>
      </w:hyperlink>
      <w:r>
        <w:rPr>
          <w:rFonts w:ascii="Times New Roman" w:hAnsi="Times New Roman"/>
        </w:rPr>
        <w:t>.</w:t>
      </w:r>
      <w:proofErr w:type="gramEnd"/>
      <w:r>
        <w:rPr>
          <w:rFonts w:ascii="Times New Roman" w:hAnsi="Times New Roman"/>
        </w:rPr>
        <w:t xml:space="preserve"> </w:t>
      </w:r>
    </w:p>
  </w:footnote>
  <w:footnote w:id="39">
    <w:p w14:paraId="34233232" w14:textId="2DE9DA32" w:rsidR="00507CE3" w:rsidRPr="008803BC" w:rsidRDefault="00507CE3" w:rsidP="00AE627D">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r w:rsidRPr="00E2077B">
        <w:rPr>
          <w:rFonts w:ascii="Times New Roman" w:hAnsi="Times New Roman"/>
        </w:rPr>
        <w:t xml:space="preserve">I. Steadman: „New fees cause 70 per cent drop in employment tribunal cases" </w:t>
      </w:r>
      <w:r w:rsidRPr="00E2077B">
        <w:rPr>
          <w:rFonts w:ascii="Times New Roman" w:hAnsi="Times New Roman"/>
          <w:i/>
        </w:rPr>
        <w:t>New Statesman</w:t>
      </w:r>
      <w:r w:rsidRPr="00E2077B">
        <w:rPr>
          <w:rFonts w:ascii="Times New Roman" w:hAnsi="Times New Roman"/>
        </w:rPr>
        <w:t xml:space="preserve">, 12. </w:t>
      </w:r>
      <w:proofErr w:type="gramStart"/>
      <w:r>
        <w:rPr>
          <w:rFonts w:ascii="Times New Roman" w:hAnsi="Times New Roman"/>
        </w:rPr>
        <w:t xml:space="preserve">September 2014, unter </w:t>
      </w:r>
      <w:hyperlink r:id="rId11">
        <w:r>
          <w:rPr>
            <w:rStyle w:val="Link"/>
            <w:rFonts w:ascii="Times New Roman" w:hAnsi="Times New Roman"/>
          </w:rPr>
          <w:t>http://www.newstatesman.com/staggers/2014/09/new-fees-cause-70-cent-drop-employment-tribunal-cases</w:t>
        </w:r>
      </w:hyperlink>
      <w:r>
        <w:rPr>
          <w:rFonts w:ascii="Times New Roman" w:hAnsi="Times New Roman"/>
        </w:rPr>
        <w:t>.</w:t>
      </w:r>
      <w:proofErr w:type="gramEnd"/>
      <w:r>
        <w:rPr>
          <w:rFonts w:ascii="Times New Roman" w:hAnsi="Times New Roman"/>
        </w:rPr>
        <w:t xml:space="preserve"> </w:t>
      </w:r>
    </w:p>
  </w:footnote>
  <w:footnote w:id="40">
    <w:p w14:paraId="45497E8E" w14:textId="36918D95" w:rsidR="00507CE3" w:rsidRPr="008803BC" w:rsidRDefault="00507CE3" w:rsidP="00AE627D">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r w:rsidRPr="00462CA4">
        <w:rPr>
          <w:rFonts w:ascii="Times New Roman" w:hAnsi="Times New Roman"/>
        </w:rPr>
        <w:t>James Munby</w:t>
      </w:r>
      <w:r>
        <w:rPr>
          <w:rFonts w:ascii="Times New Roman" w:hAnsi="Times New Roman"/>
        </w:rPr>
        <w:t>, P.: „21st Century Family Law"</w:t>
      </w:r>
      <w:r w:rsidRPr="005F1F7C">
        <w:rPr>
          <w:rFonts w:ascii="Times New Roman" w:hAnsi="Times New Roman"/>
        </w:rPr>
        <w:t xml:space="preserve">, Michael Farmer Gedenk-Vortrag 2014, </w:t>
      </w:r>
      <w:proofErr w:type="gramStart"/>
      <w:r w:rsidRPr="005F1F7C">
        <w:rPr>
          <w:rFonts w:ascii="Times New Roman" w:hAnsi="Times New Roman"/>
        </w:rPr>
        <w:t>gehalten</w:t>
      </w:r>
      <w:proofErr w:type="gramEnd"/>
      <w:r w:rsidRPr="005F1F7C">
        <w:rPr>
          <w:rFonts w:ascii="Times New Roman" w:hAnsi="Times New Roman"/>
        </w:rPr>
        <w:t xml:space="preserve"> am 10. </w:t>
      </w:r>
      <w:proofErr w:type="gramStart"/>
      <w:r>
        <w:rPr>
          <w:rFonts w:ascii="Times New Roman" w:hAnsi="Times New Roman"/>
        </w:rPr>
        <w:t xml:space="preserve">Oktober 2014, bei der 2014 Legal Wales Conference an der Bangor University, erhältlich unter </w:t>
      </w:r>
      <w:hyperlink r:id="rId12">
        <w:r>
          <w:rPr>
            <w:rStyle w:val="Link"/>
            <w:rFonts w:ascii="Times New Roman" w:hAnsi="Times New Roman"/>
          </w:rPr>
          <w:t>http://www.judiciary.gov.uk/wp-content/uploads/2014/10/munby-speech-bangor-10102014.pdf</w:t>
        </w:r>
      </w:hyperlink>
      <w:r>
        <w:rPr>
          <w:rFonts w:ascii="Times New Roman" w:hAnsi="Times New Roman"/>
        </w:rPr>
        <w:t>.</w:t>
      </w:r>
      <w:proofErr w:type="gramEnd"/>
    </w:p>
  </w:footnote>
  <w:footnote w:id="41">
    <w:p w14:paraId="6196675F" w14:textId="47C8674D" w:rsidR="00507CE3" w:rsidRPr="00E55ACE" w:rsidRDefault="00507CE3">
      <w:pPr>
        <w:pStyle w:val="Funotentext"/>
        <w:rPr>
          <w:rFonts w:ascii="Times New Roman" w:hAnsi="Times New Roman"/>
        </w:rPr>
      </w:pPr>
      <w:r>
        <w:rPr>
          <w:rStyle w:val="Funotenzeichen"/>
        </w:rPr>
        <w:footnoteRef/>
      </w:r>
      <w:r>
        <w:t xml:space="preserve"> </w:t>
      </w:r>
      <w:r w:rsidRPr="00E55ACE">
        <w:rPr>
          <w:rFonts w:ascii="Times New Roman" w:hAnsi="Times New Roman"/>
        </w:rPr>
        <w:t>CEDR bezeichnet sich selbst als “The largest conflict management and resolution consultancy in the world</w:t>
      </w:r>
      <w:r>
        <w:rPr>
          <w:rFonts w:ascii="Times New Roman" w:hAnsi="Times New Roman"/>
        </w:rPr>
        <w:t>”</w:t>
      </w:r>
      <w:r w:rsidRPr="00E55ACE">
        <w:rPr>
          <w:rFonts w:ascii="Times New Roman" w:hAnsi="Times New Roman"/>
        </w:rPr>
        <w:t xml:space="preserve"> – cedr.com</w:t>
      </w:r>
    </w:p>
  </w:footnote>
  <w:footnote w:id="42">
    <w:p w14:paraId="2F88F7FC" w14:textId="72B15BDB" w:rsidR="00507CE3" w:rsidRPr="008803BC" w:rsidRDefault="00507CE3" w:rsidP="00AE627D">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proofErr w:type="gramStart"/>
      <w:r w:rsidRPr="005F1F7C">
        <w:rPr>
          <w:rFonts w:ascii="Times New Roman" w:hAnsi="Times New Roman"/>
          <w:i/>
        </w:rPr>
        <w:t>Mediation Audit 2014</w:t>
      </w:r>
      <w:r w:rsidRPr="005F1F7C">
        <w:rPr>
          <w:rFonts w:ascii="Times New Roman" w:hAnsi="Times New Roman"/>
        </w:rPr>
        <w:t xml:space="preserve"> (Centre for Effective Dispute Resolution – CEDR), 2014).</w:t>
      </w:r>
      <w:proofErr w:type="gramEnd"/>
    </w:p>
  </w:footnote>
  <w:footnote w:id="43">
    <w:p w14:paraId="349E55B1" w14:textId="7C04BA54" w:rsidR="00507CE3" w:rsidRPr="008803BC" w:rsidRDefault="00507CE3" w:rsidP="00AE627D">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proofErr w:type="gramStart"/>
      <w:r w:rsidRPr="001D782E">
        <w:rPr>
          <w:rFonts w:ascii="Times New Roman" w:hAnsi="Times New Roman" w:cs="Times New Roman"/>
        </w:rPr>
        <w:t>Vorschlag für eine Verordnung des Europäischen Parlaments und des Rates zur Veränderung der Verordnung (EG) Nr. 861/2007 des Europäischen Parlaments und des Rat</w:t>
      </w:r>
      <w:r>
        <w:rPr>
          <w:rFonts w:ascii="Times New Roman" w:hAnsi="Times New Roman" w:cs="Times New Roman"/>
        </w:rPr>
        <w:t>e</w:t>
      </w:r>
      <w:r w:rsidRPr="001D782E">
        <w:rPr>
          <w:rFonts w:ascii="Times New Roman" w:hAnsi="Times New Roman" w:cs="Times New Roman"/>
        </w:rPr>
        <w:t>s vom 11</w:t>
      </w:r>
      <w:r>
        <w:rPr>
          <w:rFonts w:ascii="Times New Roman" w:hAnsi="Times New Roman" w:cs="Times New Roman"/>
        </w:rPr>
        <w:t>.</w:t>
      </w:r>
      <w:proofErr w:type="gramEnd"/>
      <w:r w:rsidRPr="001D782E">
        <w:rPr>
          <w:rFonts w:ascii="Times New Roman" w:hAnsi="Times New Roman" w:cs="Times New Roman"/>
        </w:rPr>
        <w:t xml:space="preserve"> </w:t>
      </w:r>
      <w:proofErr w:type="gramStart"/>
      <w:r w:rsidRPr="001D782E">
        <w:rPr>
          <w:rFonts w:ascii="Times New Roman" w:hAnsi="Times New Roman" w:cs="Times New Roman"/>
        </w:rPr>
        <w:t xml:space="preserve">Juli 2007 zur Einführung eines </w:t>
      </w:r>
      <w:r w:rsidRPr="001D782E">
        <w:rPr>
          <w:rFonts w:ascii="Times New Roman" w:hAnsi="Times New Roman" w:cs="Times New Roman"/>
          <w:bCs/>
        </w:rPr>
        <w:t>europäischen Verfahrens für geringfügige Forderungen</w:t>
      </w:r>
      <w:r w:rsidRPr="001D782E">
        <w:rPr>
          <w:rFonts w:ascii="Times New Roman" w:hAnsi="Times New Roman" w:cs="Times New Roman"/>
        </w:rPr>
        <w:t xml:space="preserve"> und Regulierung (EG) Nr. 1896/2006 des Europäischen Parlaments und des Rats vom 12.</w:t>
      </w:r>
      <w:proofErr w:type="gramEnd"/>
      <w:r w:rsidRPr="001D782E">
        <w:rPr>
          <w:rFonts w:ascii="Times New Roman" w:hAnsi="Times New Roman" w:cs="Times New Roman"/>
        </w:rPr>
        <w:t xml:space="preserve"> </w:t>
      </w:r>
      <w:proofErr w:type="gramStart"/>
      <w:r w:rsidRPr="00E2077B">
        <w:rPr>
          <w:rFonts w:ascii="Times New Roman" w:hAnsi="Times New Roman" w:cs="Times New Roman"/>
        </w:rPr>
        <w:t xml:space="preserve">Dezember 2006 </w:t>
      </w:r>
      <w:r>
        <w:rPr>
          <w:rFonts w:ascii="Times New Roman" w:hAnsi="Times New Roman" w:cs="Times New Roman"/>
        </w:rPr>
        <w:t xml:space="preserve">zur </w:t>
      </w:r>
      <w:r w:rsidRPr="00E2077B">
        <w:rPr>
          <w:rFonts w:ascii="Times New Roman" w:hAnsi="Times New Roman" w:cs="Times New Roman"/>
          <w:bCs/>
        </w:rPr>
        <w:t>Einführung eines Europäischen Mahnverfahrens</w:t>
      </w:r>
      <w:r w:rsidRPr="00E2077B">
        <w:rPr>
          <w:rFonts w:ascii="Times New Roman" w:hAnsi="Times New Roman" w:cs="Times New Roman"/>
        </w:rPr>
        <w:t>, COM (2013) 794</w:t>
      </w:r>
      <w:r>
        <w:rPr>
          <w:rFonts w:ascii="Times New Roman" w:hAnsi="Times New Roman" w:cs="Times New Roman"/>
        </w:rPr>
        <w:t>,</w:t>
      </w:r>
      <w:r w:rsidRPr="00E2077B">
        <w:rPr>
          <w:rFonts w:ascii="Times New Roman" w:hAnsi="Times New Roman" w:cs="Times New Roman"/>
        </w:rPr>
        <w:t xml:space="preserve"> endgültige Fassung, 19.11.2013.</w:t>
      </w:r>
      <w:proofErr w:type="gramEnd"/>
    </w:p>
  </w:footnote>
  <w:footnote w:id="44">
    <w:p w14:paraId="394A244B" w14:textId="11B8B7E1" w:rsidR="00507CE3" w:rsidRPr="008803BC" w:rsidRDefault="00507CE3" w:rsidP="00AE627D">
      <w:pPr>
        <w:pStyle w:val="Default"/>
        <w:rPr>
          <w:rFonts w:ascii="Times New Roman" w:hAnsi="Times New Roman"/>
          <w:color w:val="auto"/>
          <w:sz w:val="20"/>
          <w:szCs w:val="20"/>
        </w:rPr>
      </w:pPr>
      <w:r>
        <w:rPr>
          <w:rStyle w:val="Funotenzeichen"/>
          <w:rFonts w:ascii="Times New Roman" w:hAnsi="Times New Roman"/>
          <w:sz w:val="20"/>
        </w:rPr>
        <w:footnoteRef/>
      </w:r>
      <w:r w:rsidRPr="008803BC">
        <w:rPr>
          <w:rFonts w:ascii="Times New Roman" w:hAnsi="Times New Roman"/>
          <w:sz w:val="20"/>
        </w:rPr>
        <w:t xml:space="preserve"> </w:t>
      </w:r>
      <w:r w:rsidRPr="001D782E">
        <w:rPr>
          <w:rFonts w:ascii="Times New Roman" w:hAnsi="Times New Roman"/>
          <w:color w:val="auto"/>
          <w:sz w:val="20"/>
          <w:szCs w:val="20"/>
        </w:rPr>
        <w:t xml:space="preserve">Bericht der Kommission </w:t>
      </w:r>
      <w:proofErr w:type="gramStart"/>
      <w:r w:rsidRPr="001D782E">
        <w:rPr>
          <w:rFonts w:ascii="Times New Roman" w:hAnsi="Times New Roman"/>
          <w:color w:val="auto"/>
          <w:sz w:val="20"/>
          <w:szCs w:val="20"/>
        </w:rPr>
        <w:t>an</w:t>
      </w:r>
      <w:proofErr w:type="gramEnd"/>
      <w:r w:rsidRPr="001D782E">
        <w:rPr>
          <w:rFonts w:ascii="Times New Roman" w:hAnsi="Times New Roman"/>
          <w:color w:val="auto"/>
          <w:sz w:val="20"/>
          <w:szCs w:val="20"/>
        </w:rPr>
        <w:t xml:space="preserve"> das Europäische Parlament, den Rat und den </w:t>
      </w:r>
      <w:r w:rsidRPr="001D782E">
        <w:rPr>
          <w:rFonts w:ascii="Times New Roman" w:hAnsi="Times New Roman"/>
          <w:bCs/>
          <w:sz w:val="20"/>
          <w:szCs w:val="20"/>
        </w:rPr>
        <w:t>Europäischen Wirtschafts- und Sozialausschuss</w:t>
      </w:r>
      <w:r>
        <w:rPr>
          <w:rFonts w:ascii="Times New Roman" w:hAnsi="Times New Roman"/>
          <w:color w:val="auto"/>
          <w:sz w:val="20"/>
          <w:szCs w:val="20"/>
        </w:rPr>
        <w:t xml:space="preserve"> vom 19. November</w:t>
      </w:r>
      <w:r w:rsidRPr="001D782E">
        <w:rPr>
          <w:rFonts w:ascii="Times New Roman" w:hAnsi="Times New Roman"/>
          <w:color w:val="auto"/>
          <w:sz w:val="20"/>
          <w:szCs w:val="20"/>
        </w:rPr>
        <w:t xml:space="preserve"> 2013 über die Anwendung der Verordnung (EG) Nr. 861/2007 des Europäischen Parlaments und des Rat</w:t>
      </w:r>
      <w:r>
        <w:rPr>
          <w:rFonts w:ascii="Times New Roman" w:hAnsi="Times New Roman"/>
          <w:color w:val="auto"/>
          <w:sz w:val="20"/>
          <w:szCs w:val="20"/>
        </w:rPr>
        <w:t>e</w:t>
      </w:r>
      <w:r w:rsidRPr="001D782E">
        <w:rPr>
          <w:rFonts w:ascii="Times New Roman" w:hAnsi="Times New Roman"/>
          <w:color w:val="auto"/>
          <w:sz w:val="20"/>
          <w:szCs w:val="20"/>
        </w:rPr>
        <w:t xml:space="preserve">s </w:t>
      </w:r>
      <w:r w:rsidRPr="001D782E">
        <w:rPr>
          <w:rFonts w:ascii="Times New Roman" w:hAnsi="Times New Roman"/>
          <w:bCs/>
          <w:sz w:val="20"/>
          <w:szCs w:val="20"/>
        </w:rPr>
        <w:t>zur Einführung eines europäischen Verfahrens für geringfügige Forderungen</w:t>
      </w:r>
      <w:r w:rsidRPr="001D782E">
        <w:rPr>
          <w:rFonts w:ascii="Times New Roman" w:hAnsi="Times New Roman"/>
          <w:color w:val="auto"/>
          <w:sz w:val="20"/>
        </w:rPr>
        <w:t xml:space="preserve"> COM</w:t>
      </w:r>
      <w:r>
        <w:rPr>
          <w:rFonts w:ascii="Times New Roman" w:hAnsi="Times New Roman"/>
          <w:color w:val="auto"/>
          <w:sz w:val="20"/>
        </w:rPr>
        <w:t xml:space="preserve"> </w:t>
      </w:r>
      <w:r w:rsidRPr="001D782E">
        <w:rPr>
          <w:rFonts w:ascii="Times New Roman" w:hAnsi="Times New Roman"/>
          <w:color w:val="auto"/>
          <w:sz w:val="20"/>
        </w:rPr>
        <w:t>(2013) 795, 19.11.2013.</w:t>
      </w:r>
    </w:p>
  </w:footnote>
  <w:footnote w:id="45">
    <w:p w14:paraId="6C5F258A" w14:textId="76E07657" w:rsidR="00507CE3" w:rsidRPr="008803BC" w:rsidRDefault="00507CE3" w:rsidP="00AE627D">
      <w:pPr>
        <w:pStyle w:val="Funotentext"/>
        <w:rPr>
          <w:rFonts w:ascii="Times New Roman" w:hAnsi="Times New Roman" w:cs="Times New Roman"/>
        </w:rPr>
      </w:pPr>
      <w:r>
        <w:rPr>
          <w:rStyle w:val="Funotenzeichen"/>
          <w:rFonts w:ascii="Times New Roman" w:hAnsi="Times New Roman"/>
        </w:rPr>
        <w:footnoteRef/>
      </w:r>
      <w:r w:rsidRPr="008803BC">
        <w:rPr>
          <w:rFonts w:ascii="Times New Roman" w:hAnsi="Times New Roman"/>
        </w:rPr>
        <w:t xml:space="preserve"> </w:t>
      </w:r>
      <w:proofErr w:type="gramStart"/>
      <w:r w:rsidRPr="00E2077B">
        <w:rPr>
          <w:rFonts w:ascii="Times New Roman" w:hAnsi="Times New Roman"/>
        </w:rPr>
        <w:t xml:space="preserve">Siehe nachfolgende </w:t>
      </w:r>
      <w:r>
        <w:rPr>
          <w:rFonts w:ascii="Times New Roman" w:hAnsi="Times New Roman"/>
        </w:rPr>
        <w:t xml:space="preserve">Gerichtsstatistik </w:t>
      </w:r>
      <w:r>
        <w:rPr>
          <w:rFonts w:ascii="Times New Roman" w:hAnsi="Times New Roman"/>
          <w:i/>
        </w:rPr>
        <w:t>Court Statistics</w:t>
      </w:r>
      <w:r w:rsidRPr="00E2077B">
        <w:rPr>
          <w:rFonts w:ascii="Times New Roman" w:hAnsi="Times New Roman"/>
        </w:rPr>
        <w:t>, Ministry of Justice.</w:t>
      </w:r>
      <w:proofErr w:type="gramEnd"/>
      <w:r w:rsidRPr="00E2077B">
        <w:rPr>
          <w:rFonts w:ascii="Times New Roman" w:hAnsi="Times New Roman"/>
        </w:rPr>
        <w:t xml:space="preserve"> </w:t>
      </w:r>
      <w:r w:rsidRPr="00116C0D">
        <w:rPr>
          <w:rFonts w:ascii="Times New Roman" w:hAnsi="Times New Roman"/>
        </w:rPr>
        <w:t>Die im Laufe der Zeit veröffentlichten Daten enthielten Inkonsistenzen, insbesondere zwischen vierteljährlichen und jährlichen</w:t>
      </w:r>
      <w:r>
        <w:rPr>
          <w:rFonts w:ascii="Times New Roman" w:hAnsi="Times New Roman"/>
        </w:rPr>
        <w:t xml:space="preserve"> Veröffentlichungen sowie nach einer Umstellung der Berichtformate im Jahr 2013</w:t>
      </w:r>
      <w:r w:rsidRPr="00116C0D">
        <w:rPr>
          <w:rFonts w:ascii="Times New Roman" w:hAnsi="Times New Roman"/>
        </w:rPr>
        <w:t xml:space="preserve">. </w:t>
      </w:r>
      <w:r>
        <w:rPr>
          <w:rFonts w:ascii="Times New Roman" w:hAnsi="Times New Roman"/>
        </w:rPr>
        <w:t>U</w:t>
      </w:r>
      <w:r w:rsidRPr="00116C0D">
        <w:rPr>
          <w:rFonts w:ascii="Times New Roman" w:hAnsi="Times New Roman"/>
        </w:rPr>
        <w:t xml:space="preserve">nterschiedliche Datensätze </w:t>
      </w:r>
      <w:proofErr w:type="gramStart"/>
      <w:r w:rsidRPr="00116C0D">
        <w:rPr>
          <w:rFonts w:ascii="Times New Roman" w:hAnsi="Times New Roman"/>
        </w:rPr>
        <w:t>sind</w:t>
      </w:r>
      <w:proofErr w:type="gramEnd"/>
      <w:r w:rsidRPr="00116C0D">
        <w:rPr>
          <w:rFonts w:ascii="Times New Roman" w:hAnsi="Times New Roman"/>
        </w:rPr>
        <w:t xml:space="preserve"> hier reproduziert worden, mit dem Ergebnis, dass die Zahlen in </w:t>
      </w:r>
      <w:r>
        <w:rPr>
          <w:rFonts w:ascii="Times New Roman" w:hAnsi="Times New Roman"/>
        </w:rPr>
        <w:t xml:space="preserve">einigen Spalten in Bezug auf Daten in anderen Spalten widersprüchlich erscheinen, insbesondere die kursiv gedruckten Zahlen. </w:t>
      </w:r>
      <w:r w:rsidRPr="00116C0D">
        <w:rPr>
          <w:rFonts w:ascii="Times New Roman" w:hAnsi="Times New Roman"/>
        </w:rPr>
        <w:t xml:space="preserve">Die mit einem * gekennzeichneten </w:t>
      </w:r>
      <w:r>
        <w:rPr>
          <w:rFonts w:ascii="Times New Roman" w:hAnsi="Times New Roman"/>
        </w:rPr>
        <w:t xml:space="preserve">Zahlen </w:t>
      </w:r>
      <w:proofErr w:type="gramStart"/>
      <w:r>
        <w:rPr>
          <w:rFonts w:ascii="Times New Roman" w:hAnsi="Times New Roman"/>
        </w:rPr>
        <w:t>sind</w:t>
      </w:r>
      <w:proofErr w:type="gramEnd"/>
      <w:r>
        <w:rPr>
          <w:rFonts w:ascii="Times New Roman" w:hAnsi="Times New Roman"/>
        </w:rPr>
        <w:t xml:space="preserve"> </w:t>
      </w:r>
      <w:r>
        <w:rPr>
          <w:rFonts w:ascii="Times New Roman" w:hAnsi="Times New Roman"/>
          <w:i/>
        </w:rPr>
        <w:t>den vierteljährlichen Gerichtsstatistiken</w:t>
      </w:r>
      <w:r w:rsidRPr="00116C0D">
        <w:rPr>
          <w:rFonts w:ascii="Times New Roman" w:hAnsi="Times New Roman"/>
          <w:i/>
        </w:rPr>
        <w:t xml:space="preserve">, April </w:t>
      </w:r>
      <w:r>
        <w:rPr>
          <w:rFonts w:ascii="Times New Roman" w:hAnsi="Times New Roman"/>
          <w:i/>
        </w:rPr>
        <w:t>bis Juni</w:t>
      </w:r>
      <w:r w:rsidRPr="00116C0D">
        <w:rPr>
          <w:rFonts w:ascii="Times New Roman" w:hAnsi="Times New Roman"/>
          <w:i/>
        </w:rPr>
        <w:t xml:space="preserve"> 2014</w:t>
      </w:r>
      <w:r>
        <w:rPr>
          <w:rFonts w:ascii="Times New Roman" w:hAnsi="Times New Roman"/>
          <w:i/>
        </w:rPr>
        <w:t xml:space="preserve">, </w:t>
      </w:r>
      <w:r w:rsidRPr="00556343">
        <w:rPr>
          <w:rFonts w:ascii="Times New Roman" w:hAnsi="Times New Roman"/>
        </w:rPr>
        <w:t>entnommen</w:t>
      </w:r>
      <w:r w:rsidRPr="00116C0D">
        <w:rPr>
          <w:rFonts w:ascii="Times New Roman" w:hAnsi="Times New Roman"/>
        </w:rPr>
        <w:t xml:space="preserve">. </w:t>
      </w:r>
      <w:r w:rsidRPr="00CE4BF3">
        <w:rPr>
          <w:rFonts w:ascii="Times New Roman" w:hAnsi="Times New Roman"/>
        </w:rPr>
        <w:t xml:space="preserve">Es </w:t>
      </w:r>
      <w:r>
        <w:rPr>
          <w:rFonts w:ascii="Times New Roman" w:hAnsi="Times New Roman"/>
        </w:rPr>
        <w:t>läßt sich jedoch Folgendes an Auffälligkeiten festhalten</w:t>
      </w:r>
      <w:r w:rsidRPr="00CE4BF3">
        <w:rPr>
          <w:rFonts w:ascii="Times New Roman" w:hAnsi="Times New Roman"/>
        </w:rPr>
        <w:t xml:space="preserve">: </w:t>
      </w:r>
      <w:r>
        <w:rPr>
          <w:rFonts w:ascii="Times New Roman" w:hAnsi="Times New Roman"/>
        </w:rPr>
        <w:t>a</w:t>
      </w:r>
      <w:r w:rsidRPr="00CE4BF3">
        <w:rPr>
          <w:rFonts w:ascii="Times New Roman" w:hAnsi="Times New Roman"/>
        </w:rPr>
        <w:t xml:space="preserve">llgemeine Aufwärts- </w:t>
      </w:r>
      <w:proofErr w:type="gramStart"/>
      <w:r w:rsidRPr="00CE4BF3">
        <w:rPr>
          <w:rFonts w:ascii="Times New Roman" w:hAnsi="Times New Roman"/>
        </w:rPr>
        <w:t>oder</w:t>
      </w:r>
      <w:proofErr w:type="gramEnd"/>
      <w:r w:rsidRPr="00CE4BF3">
        <w:rPr>
          <w:rFonts w:ascii="Times New Roman" w:hAnsi="Times New Roman"/>
        </w:rPr>
        <w:t xml:space="preserve"> Abwärtstrends, die </w:t>
      </w:r>
      <w:r>
        <w:rPr>
          <w:rFonts w:ascii="Times New Roman" w:hAnsi="Times New Roman"/>
        </w:rPr>
        <w:t>relative Größe der verschiedenen Verfahrenswege und die Verminderung von Rechtsstreitigkeiten von Beginn bis Ende der förmlichen Verfahren</w:t>
      </w:r>
      <w:r w:rsidRPr="00CE4BF3">
        <w:rPr>
          <w:rFonts w:ascii="Times New Roman" w:hAnsi="Times New Roman"/>
        </w:rPr>
        <w:t>.</w:t>
      </w:r>
    </w:p>
  </w:footnote>
  <w:footnote w:id="46">
    <w:p w14:paraId="1930063D" w14:textId="64948D16" w:rsidR="00507CE3" w:rsidRPr="00780A67" w:rsidRDefault="00507CE3" w:rsidP="00AE627D">
      <w:pPr>
        <w:pStyle w:val="Funotentext"/>
        <w:rPr>
          <w:rFonts w:ascii="Times New Roman" w:hAnsi="Times New Roman" w:cs="Times New Roman"/>
        </w:rPr>
      </w:pPr>
      <w:r>
        <w:rPr>
          <w:rStyle w:val="Funotenzeichen"/>
          <w:rFonts w:ascii="Times New Roman" w:hAnsi="Times New Roman"/>
        </w:rPr>
        <w:footnoteRef/>
      </w:r>
      <w:r>
        <w:rPr>
          <w:rFonts w:ascii="Times New Roman" w:hAnsi="Times New Roman"/>
        </w:rPr>
        <w:t xml:space="preserve"> </w:t>
      </w:r>
      <w:proofErr w:type="gramStart"/>
      <w:r>
        <w:rPr>
          <w:rFonts w:ascii="Times New Roman" w:hAnsi="Times New Roman"/>
        </w:rPr>
        <w:t>Ohne Anträge auf Insolvenz.</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254EE1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F5304DC"/>
    <w:multiLevelType w:val="hybridMultilevel"/>
    <w:tmpl w:val="C474415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271061"/>
    <w:multiLevelType w:val="hybridMultilevel"/>
    <w:tmpl w:val="E044248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6824AD"/>
    <w:multiLevelType w:val="hybridMultilevel"/>
    <w:tmpl w:val="61F2000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1B1426F"/>
    <w:multiLevelType w:val="hybridMultilevel"/>
    <w:tmpl w:val="9CB8B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4AD3377"/>
    <w:multiLevelType w:val="hybridMultilevel"/>
    <w:tmpl w:val="D5443D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211752"/>
    <w:multiLevelType w:val="hybridMultilevel"/>
    <w:tmpl w:val="A926A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40604F"/>
    <w:multiLevelType w:val="hybridMultilevel"/>
    <w:tmpl w:val="2780C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2E6A36"/>
    <w:multiLevelType w:val="hybridMultilevel"/>
    <w:tmpl w:val="BF4C61A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nsid w:val="5D25159A"/>
    <w:multiLevelType w:val="hybridMultilevel"/>
    <w:tmpl w:val="82A2EE6E"/>
    <w:lvl w:ilvl="0" w:tplc="B5A8994C">
      <w:start w:val="1"/>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7"/>
  </w:num>
  <w:num w:numId="6">
    <w:abstractNumId w:val="4"/>
  </w:num>
  <w:num w:numId="7">
    <w:abstractNumId w:val="1"/>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22"/>
    <w:rsid w:val="00022667"/>
    <w:rsid w:val="00022F12"/>
    <w:rsid w:val="00033C38"/>
    <w:rsid w:val="000456CF"/>
    <w:rsid w:val="00054284"/>
    <w:rsid w:val="00061786"/>
    <w:rsid w:val="0007430C"/>
    <w:rsid w:val="00087FB4"/>
    <w:rsid w:val="000939C7"/>
    <w:rsid w:val="000B221E"/>
    <w:rsid w:val="000C5903"/>
    <w:rsid w:val="00106519"/>
    <w:rsid w:val="00112C79"/>
    <w:rsid w:val="00117D58"/>
    <w:rsid w:val="00121B7D"/>
    <w:rsid w:val="00122E45"/>
    <w:rsid w:val="00124B50"/>
    <w:rsid w:val="0013198A"/>
    <w:rsid w:val="00131FCC"/>
    <w:rsid w:val="00132AAD"/>
    <w:rsid w:val="001359FF"/>
    <w:rsid w:val="00140FCA"/>
    <w:rsid w:val="00153E9B"/>
    <w:rsid w:val="001852AA"/>
    <w:rsid w:val="00190BF4"/>
    <w:rsid w:val="00197815"/>
    <w:rsid w:val="001B14FE"/>
    <w:rsid w:val="001B44A5"/>
    <w:rsid w:val="001B6208"/>
    <w:rsid w:val="001D01BB"/>
    <w:rsid w:val="001F1460"/>
    <w:rsid w:val="001F60EC"/>
    <w:rsid w:val="001F70C6"/>
    <w:rsid w:val="00200DE9"/>
    <w:rsid w:val="0023167D"/>
    <w:rsid w:val="00266423"/>
    <w:rsid w:val="002666C5"/>
    <w:rsid w:val="00270EE9"/>
    <w:rsid w:val="00276F12"/>
    <w:rsid w:val="002826CD"/>
    <w:rsid w:val="00282B90"/>
    <w:rsid w:val="002A301F"/>
    <w:rsid w:val="002A630B"/>
    <w:rsid w:val="002B4174"/>
    <w:rsid w:val="002B7861"/>
    <w:rsid w:val="002E1D39"/>
    <w:rsid w:val="002E2813"/>
    <w:rsid w:val="002F0DD6"/>
    <w:rsid w:val="002F7420"/>
    <w:rsid w:val="00300DE8"/>
    <w:rsid w:val="00303624"/>
    <w:rsid w:val="003041F8"/>
    <w:rsid w:val="00310845"/>
    <w:rsid w:val="00322BA5"/>
    <w:rsid w:val="00325762"/>
    <w:rsid w:val="003344BC"/>
    <w:rsid w:val="003601A2"/>
    <w:rsid w:val="0038509F"/>
    <w:rsid w:val="003B440F"/>
    <w:rsid w:val="003B7C50"/>
    <w:rsid w:val="003C3AE3"/>
    <w:rsid w:val="003C6F3C"/>
    <w:rsid w:val="003D1688"/>
    <w:rsid w:val="003D653E"/>
    <w:rsid w:val="003D6EC6"/>
    <w:rsid w:val="00402EAF"/>
    <w:rsid w:val="00430F70"/>
    <w:rsid w:val="004530AB"/>
    <w:rsid w:val="004776C9"/>
    <w:rsid w:val="0048495A"/>
    <w:rsid w:val="004C1B1A"/>
    <w:rsid w:val="004C53FF"/>
    <w:rsid w:val="004C5C2F"/>
    <w:rsid w:val="004C6491"/>
    <w:rsid w:val="004D32C6"/>
    <w:rsid w:val="004E2501"/>
    <w:rsid w:val="004F372F"/>
    <w:rsid w:val="00501407"/>
    <w:rsid w:val="00507CE3"/>
    <w:rsid w:val="00523331"/>
    <w:rsid w:val="00532828"/>
    <w:rsid w:val="005368B3"/>
    <w:rsid w:val="00537B70"/>
    <w:rsid w:val="00542F53"/>
    <w:rsid w:val="00580BDC"/>
    <w:rsid w:val="00593BF9"/>
    <w:rsid w:val="005A6BB2"/>
    <w:rsid w:val="005A7016"/>
    <w:rsid w:val="005B33EF"/>
    <w:rsid w:val="005C373D"/>
    <w:rsid w:val="005C7940"/>
    <w:rsid w:val="005F218D"/>
    <w:rsid w:val="0060022F"/>
    <w:rsid w:val="00603589"/>
    <w:rsid w:val="00604013"/>
    <w:rsid w:val="006248A6"/>
    <w:rsid w:val="00632BCD"/>
    <w:rsid w:val="00633B1E"/>
    <w:rsid w:val="00642EC3"/>
    <w:rsid w:val="00656F4A"/>
    <w:rsid w:val="006574AF"/>
    <w:rsid w:val="00657826"/>
    <w:rsid w:val="006813EC"/>
    <w:rsid w:val="00681DEB"/>
    <w:rsid w:val="006A4326"/>
    <w:rsid w:val="006B06BF"/>
    <w:rsid w:val="006B250B"/>
    <w:rsid w:val="006B2FB0"/>
    <w:rsid w:val="006C494B"/>
    <w:rsid w:val="00710295"/>
    <w:rsid w:val="00710BAC"/>
    <w:rsid w:val="00715FE3"/>
    <w:rsid w:val="00735D83"/>
    <w:rsid w:val="00741A41"/>
    <w:rsid w:val="00744A6C"/>
    <w:rsid w:val="00772E77"/>
    <w:rsid w:val="00780A67"/>
    <w:rsid w:val="00783370"/>
    <w:rsid w:val="007A7739"/>
    <w:rsid w:val="007C07B5"/>
    <w:rsid w:val="007C7C35"/>
    <w:rsid w:val="007D1879"/>
    <w:rsid w:val="007F4233"/>
    <w:rsid w:val="007F436F"/>
    <w:rsid w:val="00811CB5"/>
    <w:rsid w:val="00817C0A"/>
    <w:rsid w:val="00823F36"/>
    <w:rsid w:val="00851715"/>
    <w:rsid w:val="0086032C"/>
    <w:rsid w:val="00862EF1"/>
    <w:rsid w:val="0087587B"/>
    <w:rsid w:val="008803BC"/>
    <w:rsid w:val="008B17A9"/>
    <w:rsid w:val="008C274B"/>
    <w:rsid w:val="008C3F83"/>
    <w:rsid w:val="008D35B0"/>
    <w:rsid w:val="008D7367"/>
    <w:rsid w:val="008E4374"/>
    <w:rsid w:val="008E5907"/>
    <w:rsid w:val="008F06DA"/>
    <w:rsid w:val="008F4F40"/>
    <w:rsid w:val="00905955"/>
    <w:rsid w:val="00906472"/>
    <w:rsid w:val="009138CA"/>
    <w:rsid w:val="00921D92"/>
    <w:rsid w:val="0092298B"/>
    <w:rsid w:val="009275CC"/>
    <w:rsid w:val="009A3733"/>
    <w:rsid w:val="009C3944"/>
    <w:rsid w:val="009D23AE"/>
    <w:rsid w:val="009E0BA1"/>
    <w:rsid w:val="009E2013"/>
    <w:rsid w:val="009E400F"/>
    <w:rsid w:val="00A22285"/>
    <w:rsid w:val="00A270D9"/>
    <w:rsid w:val="00A41ADC"/>
    <w:rsid w:val="00A44832"/>
    <w:rsid w:val="00A479D0"/>
    <w:rsid w:val="00A50607"/>
    <w:rsid w:val="00A71273"/>
    <w:rsid w:val="00A7176C"/>
    <w:rsid w:val="00A72F4B"/>
    <w:rsid w:val="00A94982"/>
    <w:rsid w:val="00AA0AA6"/>
    <w:rsid w:val="00AA6955"/>
    <w:rsid w:val="00AD047F"/>
    <w:rsid w:val="00AD2EBB"/>
    <w:rsid w:val="00AE048E"/>
    <w:rsid w:val="00AE1790"/>
    <w:rsid w:val="00AE1EBF"/>
    <w:rsid w:val="00AE2E48"/>
    <w:rsid w:val="00AE627D"/>
    <w:rsid w:val="00AE7196"/>
    <w:rsid w:val="00AF207F"/>
    <w:rsid w:val="00AF4C22"/>
    <w:rsid w:val="00B01815"/>
    <w:rsid w:val="00B0388B"/>
    <w:rsid w:val="00B05799"/>
    <w:rsid w:val="00B05EA3"/>
    <w:rsid w:val="00B06969"/>
    <w:rsid w:val="00B17466"/>
    <w:rsid w:val="00B20BA8"/>
    <w:rsid w:val="00B2245A"/>
    <w:rsid w:val="00B27A8E"/>
    <w:rsid w:val="00B30737"/>
    <w:rsid w:val="00B33543"/>
    <w:rsid w:val="00B43AD0"/>
    <w:rsid w:val="00B478C7"/>
    <w:rsid w:val="00B56FC0"/>
    <w:rsid w:val="00B61493"/>
    <w:rsid w:val="00B93703"/>
    <w:rsid w:val="00BA1608"/>
    <w:rsid w:val="00BA61E1"/>
    <w:rsid w:val="00BA6FC0"/>
    <w:rsid w:val="00BA7757"/>
    <w:rsid w:val="00BB6BB3"/>
    <w:rsid w:val="00BB6ED3"/>
    <w:rsid w:val="00BC454C"/>
    <w:rsid w:val="00BC4ECC"/>
    <w:rsid w:val="00BC5BEA"/>
    <w:rsid w:val="00BD4E61"/>
    <w:rsid w:val="00BD7764"/>
    <w:rsid w:val="00BE30C6"/>
    <w:rsid w:val="00BE5343"/>
    <w:rsid w:val="00BE768C"/>
    <w:rsid w:val="00BF28FF"/>
    <w:rsid w:val="00C1155E"/>
    <w:rsid w:val="00C33373"/>
    <w:rsid w:val="00C41446"/>
    <w:rsid w:val="00C436A4"/>
    <w:rsid w:val="00C744C7"/>
    <w:rsid w:val="00C7604F"/>
    <w:rsid w:val="00C81680"/>
    <w:rsid w:val="00C81B1E"/>
    <w:rsid w:val="00C85F59"/>
    <w:rsid w:val="00C909DF"/>
    <w:rsid w:val="00C96C4A"/>
    <w:rsid w:val="00CA2CDB"/>
    <w:rsid w:val="00CD117F"/>
    <w:rsid w:val="00D24D22"/>
    <w:rsid w:val="00D25E9A"/>
    <w:rsid w:val="00D31C79"/>
    <w:rsid w:val="00D31D30"/>
    <w:rsid w:val="00D509B4"/>
    <w:rsid w:val="00D5700B"/>
    <w:rsid w:val="00D77965"/>
    <w:rsid w:val="00D805ED"/>
    <w:rsid w:val="00D9107E"/>
    <w:rsid w:val="00D974B4"/>
    <w:rsid w:val="00D9764F"/>
    <w:rsid w:val="00DA02E3"/>
    <w:rsid w:val="00DB0473"/>
    <w:rsid w:val="00DB1AE3"/>
    <w:rsid w:val="00DB43A2"/>
    <w:rsid w:val="00DB5F29"/>
    <w:rsid w:val="00DC0841"/>
    <w:rsid w:val="00DC1B75"/>
    <w:rsid w:val="00DD3312"/>
    <w:rsid w:val="00DD5AC2"/>
    <w:rsid w:val="00DD679F"/>
    <w:rsid w:val="00DE05CB"/>
    <w:rsid w:val="00DE415A"/>
    <w:rsid w:val="00DE4BE4"/>
    <w:rsid w:val="00E0156D"/>
    <w:rsid w:val="00E05CB5"/>
    <w:rsid w:val="00E07EA8"/>
    <w:rsid w:val="00E127A2"/>
    <w:rsid w:val="00E206D1"/>
    <w:rsid w:val="00E27149"/>
    <w:rsid w:val="00E37BB4"/>
    <w:rsid w:val="00E55ACE"/>
    <w:rsid w:val="00E64C2D"/>
    <w:rsid w:val="00E6627B"/>
    <w:rsid w:val="00E77015"/>
    <w:rsid w:val="00E832DB"/>
    <w:rsid w:val="00E8469F"/>
    <w:rsid w:val="00E9182C"/>
    <w:rsid w:val="00E94818"/>
    <w:rsid w:val="00E9649D"/>
    <w:rsid w:val="00EA1321"/>
    <w:rsid w:val="00EA16BD"/>
    <w:rsid w:val="00EB325B"/>
    <w:rsid w:val="00EC1256"/>
    <w:rsid w:val="00EC2C93"/>
    <w:rsid w:val="00EC4FF7"/>
    <w:rsid w:val="00EE3A6F"/>
    <w:rsid w:val="00EE3D0F"/>
    <w:rsid w:val="00F04149"/>
    <w:rsid w:val="00F069EB"/>
    <w:rsid w:val="00F3269C"/>
    <w:rsid w:val="00F405D8"/>
    <w:rsid w:val="00F41E2B"/>
    <w:rsid w:val="00F469A4"/>
    <w:rsid w:val="00F530ED"/>
    <w:rsid w:val="00F64B53"/>
    <w:rsid w:val="00F75257"/>
    <w:rsid w:val="00F8433B"/>
    <w:rsid w:val="00F96CA4"/>
    <w:rsid w:val="00FE2023"/>
    <w:rsid w:val="00FF0E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9E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4C22"/>
    <w:pPr>
      <w:ind w:left="720"/>
      <w:contextualSpacing/>
    </w:pPr>
  </w:style>
  <w:style w:type="paragraph" w:styleId="Funotentext">
    <w:name w:val="footnote text"/>
    <w:aliases w:val="ft,Footnote Text Char1,Footnote Text Char Char,ft Char,FA,FA Fußnotentext,fn,Footnotetext,ftx,Footnotetext1,Footnotetext2,ftx1,Footnotetext3,ftx2,Footnotetext4,ftx3,Footnotetext5,ftx4,Footnotetext6,Footnotetext7,ftx5,Footnotetext8,ftx11"/>
    <w:basedOn w:val="Standard"/>
    <w:link w:val="FunotentextZeichen"/>
    <w:unhideWhenUsed/>
    <w:rsid w:val="00AF4C22"/>
    <w:pPr>
      <w:spacing w:after="0" w:line="240" w:lineRule="auto"/>
    </w:pPr>
    <w:rPr>
      <w:sz w:val="20"/>
      <w:szCs w:val="20"/>
    </w:rPr>
  </w:style>
  <w:style w:type="character" w:customStyle="1" w:styleId="FunotentextZeichen">
    <w:name w:val="Fußnotentext Zeichen"/>
    <w:aliases w:val="ft Zeichen,Footnote Text Char1 Zeichen,Footnote Text Char Char Zeichen,ft Char Zeichen,FA Zeichen,FA Fußnotentext Zeichen,fn Zeichen,Footnotetext Zeichen,ftx Zeichen,Footnotetext1 Zeichen,Footnotetext2 Zeichen,ftx1 Zeichen"/>
    <w:basedOn w:val="Absatzstandardschriftart"/>
    <w:link w:val="Funotentext"/>
    <w:rsid w:val="00AF4C22"/>
    <w:rPr>
      <w:sz w:val="20"/>
      <w:szCs w:val="20"/>
    </w:rPr>
  </w:style>
  <w:style w:type="character" w:styleId="Funotenzeichen">
    <w:name w:val="footnote reference"/>
    <w:aliases w:val="Footnotemark,FR,Footnotemark1,Footnotemark2,FR1,Footnotemark3,FR2,Footnotemark4,FR3,Footnotemark5,FR4,Footnotemark6,Footnotemark7,Footnotemark8,FR5,Footnotemark11,Footnotemark21,FR11,Footnotemark31,FR21,Footnotemark41,FR31,footnumber"/>
    <w:basedOn w:val="Absatzstandardschriftart"/>
    <w:unhideWhenUsed/>
    <w:rsid w:val="00AF4C22"/>
    <w:rPr>
      <w:vertAlign w:val="superscript"/>
    </w:rPr>
  </w:style>
  <w:style w:type="paragraph" w:styleId="Kopfzeile">
    <w:name w:val="header"/>
    <w:basedOn w:val="Standard"/>
    <w:link w:val="KopfzeileZeichen"/>
    <w:uiPriority w:val="99"/>
    <w:unhideWhenUsed/>
    <w:rsid w:val="00402EAF"/>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402EAF"/>
  </w:style>
  <w:style w:type="paragraph" w:styleId="Fuzeile">
    <w:name w:val="footer"/>
    <w:basedOn w:val="Standard"/>
    <w:link w:val="FuzeileZeichen"/>
    <w:uiPriority w:val="99"/>
    <w:unhideWhenUsed/>
    <w:rsid w:val="00402EAF"/>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402EAF"/>
  </w:style>
  <w:style w:type="paragraph" w:customStyle="1" w:styleId="Default">
    <w:name w:val="Default"/>
    <w:rsid w:val="008F06DA"/>
    <w:pPr>
      <w:autoSpaceDE w:val="0"/>
      <w:autoSpaceDN w:val="0"/>
      <w:adjustRightInd w:val="0"/>
      <w:spacing w:after="0" w:line="240" w:lineRule="auto"/>
    </w:pPr>
    <w:rPr>
      <w:rFonts w:ascii="Georgia" w:eastAsia="Times New Roman" w:hAnsi="Georgia" w:cs="Times New Roman"/>
      <w:color w:val="000000"/>
      <w:sz w:val="24"/>
      <w:szCs w:val="24"/>
    </w:rPr>
  </w:style>
  <w:style w:type="character" w:styleId="Link">
    <w:name w:val="Hyperlink"/>
    <w:basedOn w:val="Absatzstandardschriftart"/>
    <w:uiPriority w:val="99"/>
    <w:unhideWhenUsed/>
    <w:rsid w:val="00BB6BB3"/>
    <w:rPr>
      <w:color w:val="0000FF" w:themeColor="hyperlink"/>
      <w:u w:val="single"/>
    </w:rPr>
  </w:style>
  <w:style w:type="paragraph" w:styleId="Aufzhlungszeichen">
    <w:name w:val="List Bullet"/>
    <w:basedOn w:val="Standard"/>
    <w:uiPriority w:val="99"/>
    <w:semiHidden/>
    <w:unhideWhenUsed/>
    <w:rsid w:val="00783370"/>
    <w:pPr>
      <w:numPr>
        <w:numId w:val="4"/>
      </w:numPr>
      <w:contextualSpacing/>
    </w:pPr>
  </w:style>
  <w:style w:type="paragraph" w:styleId="Sprechblasentext">
    <w:name w:val="Balloon Text"/>
    <w:basedOn w:val="Standard"/>
    <w:link w:val="SprechblasentextZeichen"/>
    <w:uiPriority w:val="99"/>
    <w:semiHidden/>
    <w:unhideWhenUsed/>
    <w:rsid w:val="00B2245A"/>
    <w:pPr>
      <w:spacing w:after="0" w:line="240" w:lineRule="auto"/>
    </w:pPr>
    <w:rPr>
      <w:rFonts w:ascii="Arial" w:hAnsi="Arial" w:cs="Arial"/>
      <w:sz w:val="16"/>
      <w:szCs w:val="16"/>
    </w:rPr>
  </w:style>
  <w:style w:type="character" w:customStyle="1" w:styleId="SprechblasentextZeichen">
    <w:name w:val="Sprechblasentext Zeichen"/>
    <w:basedOn w:val="Absatzstandardschriftart"/>
    <w:link w:val="Sprechblasentext"/>
    <w:uiPriority w:val="99"/>
    <w:semiHidden/>
    <w:rsid w:val="00B2245A"/>
    <w:rPr>
      <w:rFonts w:ascii="Arial" w:hAnsi="Arial" w:cs="Arial"/>
      <w:sz w:val="16"/>
      <w:szCs w:val="16"/>
    </w:rPr>
  </w:style>
  <w:style w:type="table" w:styleId="Tabellenraster">
    <w:name w:val="Table Grid"/>
    <w:basedOn w:val="NormaleTabelle"/>
    <w:uiPriority w:val="59"/>
    <w:rsid w:val="00C76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mentartext">
    <w:name w:val="annotation text"/>
    <w:basedOn w:val="Standard"/>
    <w:uiPriority w:val="99"/>
    <w:semiHidden/>
    <w:unhideWhenUsed/>
    <w:rsid w:val="006248A6"/>
    <w:pPr>
      <w:spacing w:line="240" w:lineRule="auto"/>
    </w:pPr>
    <w:rPr>
      <w:sz w:val="20"/>
      <w:szCs w:val="20"/>
    </w:rPr>
  </w:style>
  <w:style w:type="character" w:styleId="Kommentarzeichen">
    <w:name w:val="annotation reference"/>
    <w:basedOn w:val="Absatzstandardschriftart"/>
    <w:uiPriority w:val="99"/>
    <w:semiHidden/>
    <w:unhideWhenUsed/>
    <w:rsid w:val="006248A6"/>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4C22"/>
    <w:pPr>
      <w:ind w:left="720"/>
      <w:contextualSpacing/>
    </w:pPr>
  </w:style>
  <w:style w:type="paragraph" w:styleId="Funotentext">
    <w:name w:val="footnote text"/>
    <w:aliases w:val="ft,Footnote Text Char1,Footnote Text Char Char,ft Char,FA,FA Fußnotentext,fn,Footnotetext,ftx,Footnotetext1,Footnotetext2,ftx1,Footnotetext3,ftx2,Footnotetext4,ftx3,Footnotetext5,ftx4,Footnotetext6,Footnotetext7,ftx5,Footnotetext8,ftx11"/>
    <w:basedOn w:val="Standard"/>
    <w:link w:val="FunotentextZeichen"/>
    <w:unhideWhenUsed/>
    <w:rsid w:val="00AF4C22"/>
    <w:pPr>
      <w:spacing w:after="0" w:line="240" w:lineRule="auto"/>
    </w:pPr>
    <w:rPr>
      <w:sz w:val="20"/>
      <w:szCs w:val="20"/>
    </w:rPr>
  </w:style>
  <w:style w:type="character" w:customStyle="1" w:styleId="FunotentextZeichen">
    <w:name w:val="Fußnotentext Zeichen"/>
    <w:aliases w:val="ft Zeichen,Footnote Text Char1 Zeichen,Footnote Text Char Char Zeichen,ft Char Zeichen,FA Zeichen,FA Fußnotentext Zeichen,fn Zeichen,Footnotetext Zeichen,ftx Zeichen,Footnotetext1 Zeichen,Footnotetext2 Zeichen,ftx1 Zeichen"/>
    <w:basedOn w:val="Absatzstandardschriftart"/>
    <w:link w:val="Funotentext"/>
    <w:rsid w:val="00AF4C22"/>
    <w:rPr>
      <w:sz w:val="20"/>
      <w:szCs w:val="20"/>
    </w:rPr>
  </w:style>
  <w:style w:type="character" w:styleId="Funotenzeichen">
    <w:name w:val="footnote reference"/>
    <w:aliases w:val="Footnotemark,FR,Footnotemark1,Footnotemark2,FR1,Footnotemark3,FR2,Footnotemark4,FR3,Footnotemark5,FR4,Footnotemark6,Footnotemark7,Footnotemark8,FR5,Footnotemark11,Footnotemark21,FR11,Footnotemark31,FR21,Footnotemark41,FR31,footnumber"/>
    <w:basedOn w:val="Absatzstandardschriftart"/>
    <w:unhideWhenUsed/>
    <w:rsid w:val="00AF4C22"/>
    <w:rPr>
      <w:vertAlign w:val="superscript"/>
    </w:rPr>
  </w:style>
  <w:style w:type="paragraph" w:styleId="Kopfzeile">
    <w:name w:val="header"/>
    <w:basedOn w:val="Standard"/>
    <w:link w:val="KopfzeileZeichen"/>
    <w:uiPriority w:val="99"/>
    <w:unhideWhenUsed/>
    <w:rsid w:val="00402EAF"/>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402EAF"/>
  </w:style>
  <w:style w:type="paragraph" w:styleId="Fuzeile">
    <w:name w:val="footer"/>
    <w:basedOn w:val="Standard"/>
    <w:link w:val="FuzeileZeichen"/>
    <w:uiPriority w:val="99"/>
    <w:unhideWhenUsed/>
    <w:rsid w:val="00402EAF"/>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402EAF"/>
  </w:style>
  <w:style w:type="paragraph" w:customStyle="1" w:styleId="Default">
    <w:name w:val="Default"/>
    <w:rsid w:val="008F06DA"/>
    <w:pPr>
      <w:autoSpaceDE w:val="0"/>
      <w:autoSpaceDN w:val="0"/>
      <w:adjustRightInd w:val="0"/>
      <w:spacing w:after="0" w:line="240" w:lineRule="auto"/>
    </w:pPr>
    <w:rPr>
      <w:rFonts w:ascii="Georgia" w:eastAsia="Times New Roman" w:hAnsi="Georgia" w:cs="Times New Roman"/>
      <w:color w:val="000000"/>
      <w:sz w:val="24"/>
      <w:szCs w:val="24"/>
    </w:rPr>
  </w:style>
  <w:style w:type="character" w:styleId="Link">
    <w:name w:val="Hyperlink"/>
    <w:basedOn w:val="Absatzstandardschriftart"/>
    <w:uiPriority w:val="99"/>
    <w:unhideWhenUsed/>
    <w:rsid w:val="00BB6BB3"/>
    <w:rPr>
      <w:color w:val="0000FF" w:themeColor="hyperlink"/>
      <w:u w:val="single"/>
    </w:rPr>
  </w:style>
  <w:style w:type="paragraph" w:styleId="Aufzhlungszeichen">
    <w:name w:val="List Bullet"/>
    <w:basedOn w:val="Standard"/>
    <w:uiPriority w:val="99"/>
    <w:semiHidden/>
    <w:unhideWhenUsed/>
    <w:rsid w:val="00783370"/>
    <w:pPr>
      <w:numPr>
        <w:numId w:val="4"/>
      </w:numPr>
      <w:contextualSpacing/>
    </w:pPr>
  </w:style>
  <w:style w:type="paragraph" w:styleId="Sprechblasentext">
    <w:name w:val="Balloon Text"/>
    <w:basedOn w:val="Standard"/>
    <w:link w:val="SprechblasentextZeichen"/>
    <w:uiPriority w:val="99"/>
    <w:semiHidden/>
    <w:unhideWhenUsed/>
    <w:rsid w:val="00B2245A"/>
    <w:pPr>
      <w:spacing w:after="0" w:line="240" w:lineRule="auto"/>
    </w:pPr>
    <w:rPr>
      <w:rFonts w:ascii="Arial" w:hAnsi="Arial" w:cs="Arial"/>
      <w:sz w:val="16"/>
      <w:szCs w:val="16"/>
    </w:rPr>
  </w:style>
  <w:style w:type="character" w:customStyle="1" w:styleId="SprechblasentextZeichen">
    <w:name w:val="Sprechblasentext Zeichen"/>
    <w:basedOn w:val="Absatzstandardschriftart"/>
    <w:link w:val="Sprechblasentext"/>
    <w:uiPriority w:val="99"/>
    <w:semiHidden/>
    <w:rsid w:val="00B2245A"/>
    <w:rPr>
      <w:rFonts w:ascii="Arial" w:hAnsi="Arial" w:cs="Arial"/>
      <w:sz w:val="16"/>
      <w:szCs w:val="16"/>
    </w:rPr>
  </w:style>
  <w:style w:type="table" w:styleId="Tabellenraster">
    <w:name w:val="Table Grid"/>
    <w:basedOn w:val="NormaleTabelle"/>
    <w:uiPriority w:val="59"/>
    <w:rsid w:val="00C76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mentartext">
    <w:name w:val="annotation text"/>
    <w:basedOn w:val="Standard"/>
    <w:uiPriority w:val="99"/>
    <w:semiHidden/>
    <w:unhideWhenUsed/>
    <w:rsid w:val="006248A6"/>
    <w:pPr>
      <w:spacing w:line="240" w:lineRule="auto"/>
    </w:pPr>
    <w:rPr>
      <w:sz w:val="20"/>
      <w:szCs w:val="20"/>
    </w:rPr>
  </w:style>
  <w:style w:type="character" w:styleId="Kommentarzeichen">
    <w:name w:val="annotation reference"/>
    <w:basedOn w:val="Absatzstandardschriftart"/>
    <w:uiPriority w:val="99"/>
    <w:semiHidden/>
    <w:unhideWhenUsed/>
    <w:rsid w:val="006248A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1" Type="http://schemas.openxmlformats.org/officeDocument/2006/relationships/hyperlink" Target="http://www.newstatesman.com/staggers/2014/09/new-fees-cause-70-cent-drop-employment-tribunal-cases" TargetMode="External"/><Relationship Id="rId12" Type="http://schemas.openxmlformats.org/officeDocument/2006/relationships/hyperlink" Target="http://www.judiciary.gov.uk/wp-content/uploads/2014/10/munby-speech-bangor-10102014.pdf" TargetMode="External"/><Relationship Id="rId1" Type="http://schemas.openxmlformats.org/officeDocument/2006/relationships/hyperlink" Target="https://owa.nexus.ox.ac.uk/owa/redir.aspx?C=mZ3kifg6_UynnzumEa1QBywAWefG19EILRnlReYJVIE-IEEoBQyzapUt6F2w3KCdfrx1Ue3_tDg.&amp;URL=http://www.resolver.co.uk" TargetMode="External"/><Relationship Id="rId2" Type="http://schemas.openxmlformats.org/officeDocument/2006/relationships/hyperlink" Target="http://economie.fgov.be/en/disputes/consumer_disputes/Belmed/" TargetMode="External"/><Relationship Id="rId3" Type="http://schemas.openxmlformats.org/officeDocument/2006/relationships/hyperlink" Target="https://owa.nexus.ox.ac.uk/owa/redir.aspx?C=LPOIryC_jE-UkM62nS7ZYMohqRmRDdEIgMBSy7Ih6fybS6lPudvDg-Qmm_SLRUdjgcssy8qm6RM.&amp;URL=http://www.citizensadvice.org.uk/index/policy/policy_publications/the_cost_of_redress.htm" TargetMode="External"/><Relationship Id="rId4" Type="http://schemas.openxmlformats.org/officeDocument/2006/relationships/hyperlink" Target="http://www.financial-ombudsman.org.uk/publications/complaints-data.html" TargetMode="External"/><Relationship Id="rId5" Type="http://schemas.openxmlformats.org/officeDocument/2006/relationships/hyperlink" Target="http://www.fca.org.uk/your-fca/documents/thematic-reviews/tr13-7" TargetMode="External"/><Relationship Id="rId6" Type="http://schemas.openxmlformats.org/officeDocument/2006/relationships/hyperlink" Target="http://www.ombudsman.org.uk/about-us" TargetMode="External"/><Relationship Id="rId7" Type="http://schemas.openxmlformats.org/officeDocument/2006/relationships/hyperlink" Target="http://www.ncepod.org.uk" TargetMode="External"/><Relationship Id="rId8" Type="http://schemas.openxmlformats.org/officeDocument/2006/relationships/hyperlink" Target="http://www.tuc.org.uk/sites/default/files/extras/compensationmyth.pdf" TargetMode="External"/><Relationship Id="rId9" Type="http://schemas.openxmlformats.org/officeDocument/2006/relationships/hyperlink" Target="http://www.acas.org.uk/index.aspx?articleid=1401" TargetMode="External"/><Relationship Id="rId10" Type="http://schemas.openxmlformats.org/officeDocument/2006/relationships/hyperlink" Target="https://www.gov.uk/government/uploads/system/uploads/attachment_data/file/352914/tribunal-statistics-quarterly-april-june-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5FA27-115E-0040-B8F9-8A3AF34B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7511</Words>
  <Characters>40262</Characters>
  <Application>Microsoft Macintosh Word</Application>
  <DocSecurity>0</DocSecurity>
  <Lines>619</Lines>
  <Paragraphs>165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Dr. Herbert WOOPEN</cp:lastModifiedBy>
  <cp:revision>3</cp:revision>
  <cp:lastPrinted>2014-09-26T14:27:00Z</cp:lastPrinted>
  <dcterms:created xsi:type="dcterms:W3CDTF">2015-07-23T23:06:00Z</dcterms:created>
  <dcterms:modified xsi:type="dcterms:W3CDTF">2015-07-23T23:07:00Z</dcterms:modified>
</cp:coreProperties>
</file>