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00A3" w14:textId="08388091" w:rsidR="00BF1F15" w:rsidRPr="003F284D" w:rsidRDefault="00AB505B" w:rsidP="00B44787">
      <w:pPr>
        <w:spacing w:line="276" w:lineRule="auto"/>
        <w:jc w:val="center"/>
        <w:rPr>
          <w:rFonts w:asciiTheme="majorHAnsi" w:hAnsiTheme="majorHAnsi"/>
          <w:b/>
        </w:rPr>
      </w:pPr>
      <w:r w:rsidRPr="003F284D">
        <w:rPr>
          <w:rFonts w:asciiTheme="majorHAnsi" w:hAnsiTheme="majorHAnsi"/>
          <w:b/>
        </w:rPr>
        <w:t>Class Actions in Poland</w:t>
      </w:r>
      <w:r w:rsidR="00FE1A97">
        <w:rPr>
          <w:rFonts w:asciiTheme="majorHAnsi" w:hAnsiTheme="majorHAnsi"/>
          <w:b/>
        </w:rPr>
        <w:t xml:space="preserve"> </w:t>
      </w:r>
      <w:r w:rsidR="003F284D">
        <w:rPr>
          <w:rFonts w:asciiTheme="majorHAnsi" w:hAnsiTheme="majorHAnsi"/>
          <w:b/>
        </w:rPr>
        <w:t>2016</w:t>
      </w:r>
      <w:r w:rsidR="00FE1A97">
        <w:rPr>
          <w:rFonts w:asciiTheme="majorHAnsi" w:hAnsiTheme="majorHAnsi"/>
          <w:b/>
        </w:rPr>
        <w:t>: Lingering problems and reform proposals</w:t>
      </w:r>
    </w:p>
    <w:p w14:paraId="200F4050" w14:textId="68E15108" w:rsidR="00AB505B" w:rsidRPr="003F284D" w:rsidRDefault="00AB505B" w:rsidP="00B44787">
      <w:pPr>
        <w:spacing w:line="276" w:lineRule="auto"/>
        <w:jc w:val="center"/>
        <w:rPr>
          <w:rFonts w:asciiTheme="majorHAnsi" w:hAnsiTheme="majorHAnsi"/>
        </w:rPr>
      </w:pPr>
      <w:r w:rsidRPr="003F284D">
        <w:rPr>
          <w:rFonts w:asciiTheme="majorHAnsi" w:hAnsiTheme="majorHAnsi"/>
        </w:rPr>
        <w:t>Report for the Conference ‘Empirical Evidence on Collective Redress in Europe’</w:t>
      </w:r>
      <w:r w:rsidR="00ED5030">
        <w:rPr>
          <w:rFonts w:asciiTheme="majorHAnsi" w:hAnsiTheme="majorHAnsi"/>
        </w:rPr>
        <w:t xml:space="preserve">, at </w:t>
      </w:r>
      <w:r w:rsidR="00ED5030" w:rsidRPr="003F284D">
        <w:rPr>
          <w:rFonts w:asciiTheme="majorHAnsi" w:hAnsiTheme="majorHAnsi"/>
        </w:rPr>
        <w:t>the University of Oxford</w:t>
      </w:r>
    </w:p>
    <w:p w14:paraId="04230167" w14:textId="77777777" w:rsidR="00AB505B" w:rsidRPr="003F284D" w:rsidRDefault="00AB505B" w:rsidP="00B44787">
      <w:pPr>
        <w:spacing w:line="276" w:lineRule="auto"/>
        <w:jc w:val="center"/>
        <w:rPr>
          <w:rFonts w:asciiTheme="majorHAnsi" w:hAnsiTheme="majorHAnsi"/>
        </w:rPr>
      </w:pPr>
      <w:r w:rsidRPr="003F284D">
        <w:rPr>
          <w:rFonts w:asciiTheme="majorHAnsi" w:hAnsiTheme="majorHAnsi"/>
        </w:rPr>
        <w:t>12 – 13 December 2016</w:t>
      </w:r>
    </w:p>
    <w:p w14:paraId="4DF972B5" w14:textId="77777777" w:rsidR="00AB505B" w:rsidRPr="003F284D" w:rsidRDefault="00AB505B" w:rsidP="00B44787">
      <w:pPr>
        <w:spacing w:line="276" w:lineRule="auto"/>
        <w:jc w:val="center"/>
        <w:rPr>
          <w:rFonts w:asciiTheme="majorHAnsi" w:hAnsiTheme="majorHAnsi"/>
          <w:b/>
        </w:rPr>
      </w:pPr>
    </w:p>
    <w:p w14:paraId="75B25C9F" w14:textId="77777777" w:rsidR="00AB505B" w:rsidRPr="003F284D" w:rsidRDefault="00AB505B" w:rsidP="00B44787">
      <w:pPr>
        <w:spacing w:line="276" w:lineRule="auto"/>
        <w:jc w:val="center"/>
        <w:rPr>
          <w:rFonts w:asciiTheme="majorHAnsi" w:hAnsiTheme="majorHAnsi"/>
          <w:b/>
        </w:rPr>
      </w:pPr>
      <w:r w:rsidRPr="003F284D">
        <w:rPr>
          <w:rFonts w:asciiTheme="majorHAnsi" w:hAnsiTheme="majorHAnsi"/>
          <w:b/>
        </w:rPr>
        <w:t>Magdalena Tulibacka</w:t>
      </w:r>
    </w:p>
    <w:p w14:paraId="293F7F76" w14:textId="77777777" w:rsidR="00AB505B" w:rsidRPr="003F284D" w:rsidRDefault="00AB505B" w:rsidP="00B44787">
      <w:pPr>
        <w:spacing w:line="276" w:lineRule="auto"/>
        <w:rPr>
          <w:rFonts w:asciiTheme="majorHAnsi" w:hAnsiTheme="majorHAnsi"/>
        </w:rPr>
      </w:pPr>
    </w:p>
    <w:p w14:paraId="7B04284E" w14:textId="1D07B7AE" w:rsidR="00BA51E8" w:rsidRPr="00BA51E8" w:rsidRDefault="00BA51E8" w:rsidP="00BA51E8">
      <w:pPr>
        <w:pStyle w:val="ListParagraph"/>
        <w:numPr>
          <w:ilvl w:val="0"/>
          <w:numId w:val="7"/>
        </w:numPr>
        <w:spacing w:line="276" w:lineRule="auto"/>
        <w:rPr>
          <w:rFonts w:asciiTheme="majorHAnsi" w:hAnsiTheme="majorHAnsi"/>
          <w:b/>
          <w:sz w:val="24"/>
          <w:szCs w:val="24"/>
        </w:rPr>
      </w:pPr>
      <w:r w:rsidRPr="00BA51E8">
        <w:rPr>
          <w:rFonts w:asciiTheme="majorHAnsi" w:hAnsiTheme="majorHAnsi"/>
          <w:b/>
          <w:sz w:val="24"/>
          <w:szCs w:val="24"/>
        </w:rPr>
        <w:t>INTRODUCTION</w:t>
      </w:r>
    </w:p>
    <w:p w14:paraId="545D4CD1" w14:textId="2C98D247" w:rsidR="00C6599A" w:rsidRPr="00BA51E8" w:rsidRDefault="00AB505B" w:rsidP="00BA51E8">
      <w:pPr>
        <w:spacing w:line="276" w:lineRule="auto"/>
        <w:rPr>
          <w:rFonts w:asciiTheme="majorHAnsi" w:hAnsiTheme="majorHAnsi"/>
        </w:rPr>
      </w:pPr>
      <w:r w:rsidRPr="00BA51E8">
        <w:rPr>
          <w:rFonts w:asciiTheme="majorHAnsi" w:hAnsiTheme="majorHAnsi"/>
        </w:rPr>
        <w:t xml:space="preserve">The Polish Class Actions Act </w:t>
      </w:r>
      <w:r w:rsidR="00FE1A97">
        <w:rPr>
          <w:rFonts w:asciiTheme="majorHAnsi" w:hAnsiTheme="majorHAnsi"/>
        </w:rPr>
        <w:t>came into force on</w:t>
      </w:r>
      <w:r w:rsidR="00515835" w:rsidRPr="00BA51E8">
        <w:rPr>
          <w:rFonts w:asciiTheme="majorHAnsi" w:hAnsiTheme="majorHAnsi"/>
        </w:rPr>
        <w:t xml:space="preserve"> 19</w:t>
      </w:r>
      <w:r w:rsidR="00273E83" w:rsidRPr="00BA51E8">
        <w:rPr>
          <w:rFonts w:asciiTheme="majorHAnsi" w:hAnsiTheme="majorHAnsi"/>
        </w:rPr>
        <w:t xml:space="preserve"> July 2010.</w:t>
      </w:r>
      <w:r w:rsidR="00ED5030">
        <w:rPr>
          <w:rStyle w:val="FootnoteReference"/>
          <w:rFonts w:asciiTheme="majorHAnsi" w:hAnsiTheme="majorHAnsi"/>
        </w:rPr>
        <w:footnoteReference w:id="1"/>
      </w:r>
      <w:r w:rsidR="00273E83" w:rsidRPr="00BA51E8">
        <w:rPr>
          <w:rFonts w:asciiTheme="majorHAnsi" w:hAnsiTheme="majorHAnsi"/>
        </w:rPr>
        <w:t xml:space="preserve"> Since then</w:t>
      </w:r>
      <w:r w:rsidRPr="00BA51E8">
        <w:rPr>
          <w:rFonts w:asciiTheme="majorHAnsi" w:hAnsiTheme="majorHAnsi"/>
        </w:rPr>
        <w:t xml:space="preserve"> 1</w:t>
      </w:r>
      <w:r w:rsidR="008B530E" w:rsidRPr="00BA51E8">
        <w:rPr>
          <w:rFonts w:asciiTheme="majorHAnsi" w:hAnsiTheme="majorHAnsi"/>
        </w:rPr>
        <w:t>88 class actions were brought</w:t>
      </w:r>
      <w:r w:rsidR="00273E83" w:rsidRPr="00BA51E8">
        <w:rPr>
          <w:rFonts w:asciiTheme="majorHAnsi" w:hAnsiTheme="majorHAnsi"/>
        </w:rPr>
        <w:t xml:space="preserve"> (amounting to the average of around 31 cases per year)</w:t>
      </w:r>
      <w:r w:rsidR="007C049B" w:rsidRPr="00BA51E8">
        <w:rPr>
          <w:rFonts w:asciiTheme="majorHAnsi" w:hAnsiTheme="majorHAnsi"/>
        </w:rPr>
        <w:t xml:space="preserve"> in civil cases, and 7 in </w:t>
      </w:r>
      <w:r w:rsidR="001F0B92" w:rsidRPr="00BA51E8">
        <w:rPr>
          <w:rFonts w:asciiTheme="majorHAnsi" w:hAnsiTheme="majorHAnsi"/>
        </w:rPr>
        <w:t>commercial cases</w:t>
      </w:r>
      <w:r w:rsidR="008B530E" w:rsidRPr="00BA51E8">
        <w:rPr>
          <w:rFonts w:asciiTheme="majorHAnsi" w:hAnsiTheme="majorHAnsi"/>
        </w:rPr>
        <w:t>.</w:t>
      </w:r>
      <w:r w:rsidR="00170633">
        <w:rPr>
          <w:rFonts w:asciiTheme="majorHAnsi" w:hAnsiTheme="majorHAnsi"/>
        </w:rPr>
        <w:t xml:space="preserve"> While this may seem like a significant number, one needs to put it in perspective: in 2015 the number of claims brought before civil courts in Poland was around 6.5 million.</w:t>
      </w:r>
      <w:r w:rsidR="008B530E" w:rsidRPr="00BA51E8">
        <w:rPr>
          <w:rFonts w:asciiTheme="majorHAnsi" w:hAnsiTheme="majorHAnsi"/>
        </w:rPr>
        <w:t xml:space="preserve"> </w:t>
      </w:r>
      <w:r w:rsidR="00515835" w:rsidRPr="00BA51E8">
        <w:rPr>
          <w:rFonts w:asciiTheme="majorHAnsi" w:hAnsiTheme="majorHAnsi"/>
        </w:rPr>
        <w:t>The m</w:t>
      </w:r>
      <w:r w:rsidR="00ED5030" w:rsidRPr="00BA51E8">
        <w:rPr>
          <w:rFonts w:asciiTheme="majorHAnsi" w:hAnsiTheme="majorHAnsi"/>
        </w:rPr>
        <w:t>ost common</w:t>
      </w:r>
      <w:r w:rsidR="00515835" w:rsidRPr="00BA51E8">
        <w:rPr>
          <w:rFonts w:asciiTheme="majorHAnsi" w:hAnsiTheme="majorHAnsi"/>
        </w:rPr>
        <w:t xml:space="preserve"> defendants </w:t>
      </w:r>
      <w:r w:rsidR="00FE1A97">
        <w:rPr>
          <w:rFonts w:asciiTheme="majorHAnsi" w:hAnsiTheme="majorHAnsi"/>
        </w:rPr>
        <w:t xml:space="preserve">in class actions </w:t>
      </w:r>
      <w:r w:rsidR="00ED5030" w:rsidRPr="00BA51E8">
        <w:rPr>
          <w:rFonts w:asciiTheme="majorHAnsi" w:hAnsiTheme="majorHAnsi"/>
        </w:rPr>
        <w:t>are</w:t>
      </w:r>
      <w:r w:rsidR="00515835" w:rsidRPr="00BA51E8">
        <w:rPr>
          <w:rFonts w:asciiTheme="majorHAnsi" w:hAnsiTheme="majorHAnsi"/>
        </w:rPr>
        <w:t xml:space="preserve">: </w:t>
      </w:r>
      <w:r w:rsidR="00C6599A" w:rsidRPr="00BA51E8">
        <w:rPr>
          <w:rFonts w:asciiTheme="majorHAnsi" w:hAnsiTheme="majorHAnsi"/>
        </w:rPr>
        <w:t xml:space="preserve">banks, </w:t>
      </w:r>
      <w:r w:rsidR="00E746AA" w:rsidRPr="00BA51E8">
        <w:rPr>
          <w:rFonts w:asciiTheme="majorHAnsi" w:hAnsiTheme="majorHAnsi"/>
        </w:rPr>
        <w:t xml:space="preserve">other financial and </w:t>
      </w:r>
      <w:r w:rsidR="00C6599A" w:rsidRPr="00BA51E8">
        <w:rPr>
          <w:rFonts w:asciiTheme="majorHAnsi" w:hAnsiTheme="majorHAnsi"/>
        </w:rPr>
        <w:t>insurance institutions, the state (specifically: local authorities), some internet-based service providers</w:t>
      </w:r>
      <w:r w:rsidR="0029740C" w:rsidRPr="00BA51E8">
        <w:rPr>
          <w:rFonts w:asciiTheme="majorHAnsi" w:hAnsiTheme="majorHAnsi"/>
        </w:rPr>
        <w:t xml:space="preserve">, and residential builders. </w:t>
      </w:r>
    </w:p>
    <w:p w14:paraId="66EC1C20" w14:textId="77777777" w:rsidR="007C049B" w:rsidRDefault="007C049B" w:rsidP="00B44787">
      <w:pPr>
        <w:spacing w:line="276" w:lineRule="auto"/>
        <w:rPr>
          <w:rFonts w:asciiTheme="majorHAnsi" w:hAnsiTheme="majorHAnsi"/>
        </w:rPr>
      </w:pPr>
    </w:p>
    <w:p w14:paraId="2B464601" w14:textId="739495F8" w:rsidR="00E746AA" w:rsidRDefault="001F0B92" w:rsidP="00B44787">
      <w:pPr>
        <w:spacing w:line="276" w:lineRule="auto"/>
        <w:rPr>
          <w:rFonts w:asciiTheme="majorHAnsi" w:hAnsiTheme="majorHAnsi"/>
        </w:rPr>
      </w:pPr>
      <w:r>
        <w:rPr>
          <w:rFonts w:asciiTheme="majorHAnsi" w:hAnsiTheme="majorHAnsi"/>
        </w:rPr>
        <w:t>Of the 188 civil and 7 commercial c</w:t>
      </w:r>
      <w:r w:rsidR="007C049B">
        <w:rPr>
          <w:rFonts w:asciiTheme="majorHAnsi" w:hAnsiTheme="majorHAnsi"/>
        </w:rPr>
        <w:t>laims</w:t>
      </w:r>
      <w:r>
        <w:rPr>
          <w:rFonts w:asciiTheme="majorHAnsi" w:hAnsiTheme="majorHAnsi"/>
        </w:rPr>
        <w:t xml:space="preserve">, around 117 and 5 respectively were </w:t>
      </w:r>
      <w:r w:rsidR="007C049B">
        <w:rPr>
          <w:rFonts w:asciiTheme="majorHAnsi" w:hAnsiTheme="majorHAnsi"/>
        </w:rPr>
        <w:t>completed</w:t>
      </w:r>
      <w:r>
        <w:rPr>
          <w:rFonts w:asciiTheme="majorHAnsi" w:hAnsiTheme="majorHAnsi"/>
        </w:rPr>
        <w:t>. 33 civil c</w:t>
      </w:r>
      <w:r w:rsidR="007C049B">
        <w:rPr>
          <w:rFonts w:asciiTheme="majorHAnsi" w:hAnsiTheme="majorHAnsi"/>
        </w:rPr>
        <w:t>laims</w:t>
      </w:r>
      <w:r>
        <w:rPr>
          <w:rFonts w:asciiTheme="majorHAnsi" w:hAnsiTheme="majorHAnsi"/>
        </w:rPr>
        <w:t xml:space="preserve"> </w:t>
      </w:r>
      <w:r w:rsidR="007C049B">
        <w:rPr>
          <w:rFonts w:asciiTheme="majorHAnsi" w:hAnsiTheme="majorHAnsi"/>
        </w:rPr>
        <w:t xml:space="preserve">and all </w:t>
      </w:r>
      <w:r w:rsidR="00ED5030">
        <w:rPr>
          <w:rFonts w:asciiTheme="majorHAnsi" w:hAnsiTheme="majorHAnsi"/>
        </w:rPr>
        <w:t>5</w:t>
      </w:r>
      <w:r w:rsidR="007C049B">
        <w:rPr>
          <w:rFonts w:asciiTheme="majorHAnsi" w:hAnsiTheme="majorHAnsi"/>
        </w:rPr>
        <w:t xml:space="preserve"> commercial </w:t>
      </w:r>
      <w:r w:rsidR="00170633">
        <w:rPr>
          <w:rFonts w:asciiTheme="majorHAnsi" w:hAnsiTheme="majorHAnsi"/>
        </w:rPr>
        <w:t>suits</w:t>
      </w:r>
      <w:r w:rsidR="007C049B">
        <w:rPr>
          <w:rFonts w:asciiTheme="majorHAnsi" w:hAnsiTheme="majorHAnsi"/>
        </w:rPr>
        <w:t xml:space="preserve"> </w:t>
      </w:r>
      <w:r>
        <w:rPr>
          <w:rFonts w:asciiTheme="majorHAnsi" w:hAnsiTheme="majorHAnsi"/>
        </w:rPr>
        <w:t>were rejected (refused certification</w:t>
      </w:r>
      <w:r w:rsidRPr="003F284D">
        <w:rPr>
          <w:rFonts w:asciiTheme="majorHAnsi" w:hAnsiTheme="majorHAnsi"/>
        </w:rPr>
        <w:t xml:space="preserve"> because they did not meet t</w:t>
      </w:r>
      <w:r w:rsidR="007C049B">
        <w:rPr>
          <w:rFonts w:asciiTheme="majorHAnsi" w:hAnsiTheme="majorHAnsi"/>
        </w:rPr>
        <w:t>he conditions set out by the Act</w:t>
      </w:r>
      <w:r>
        <w:rPr>
          <w:rFonts w:asciiTheme="majorHAnsi" w:hAnsiTheme="majorHAnsi"/>
        </w:rPr>
        <w:t>)</w:t>
      </w:r>
      <w:r w:rsidR="007C049B">
        <w:rPr>
          <w:rFonts w:asciiTheme="majorHAnsi" w:hAnsiTheme="majorHAnsi"/>
        </w:rPr>
        <w:t xml:space="preserve">, and 45 civil </w:t>
      </w:r>
      <w:r w:rsidR="00170633">
        <w:rPr>
          <w:rFonts w:asciiTheme="majorHAnsi" w:hAnsiTheme="majorHAnsi"/>
        </w:rPr>
        <w:t>suits</w:t>
      </w:r>
      <w:r w:rsidR="007C049B">
        <w:rPr>
          <w:rFonts w:asciiTheme="majorHAnsi" w:hAnsiTheme="majorHAnsi"/>
        </w:rPr>
        <w:t xml:space="preserve"> were returned because of various formal inadequacies</w:t>
      </w:r>
      <w:r>
        <w:rPr>
          <w:rFonts w:asciiTheme="majorHAnsi" w:hAnsiTheme="majorHAnsi"/>
        </w:rPr>
        <w:t xml:space="preserve">. Only 38% </w:t>
      </w:r>
      <w:r w:rsidR="00A2473D">
        <w:rPr>
          <w:rFonts w:asciiTheme="majorHAnsi" w:hAnsiTheme="majorHAnsi"/>
        </w:rPr>
        <w:t xml:space="preserve">of the </w:t>
      </w:r>
      <w:r w:rsidR="007C049B">
        <w:rPr>
          <w:rFonts w:asciiTheme="majorHAnsi" w:hAnsiTheme="majorHAnsi"/>
        </w:rPr>
        <w:t xml:space="preserve">civil claims </w:t>
      </w:r>
      <w:r>
        <w:rPr>
          <w:rFonts w:asciiTheme="majorHAnsi" w:hAnsiTheme="majorHAnsi"/>
        </w:rPr>
        <w:t xml:space="preserve">actually went through the phase of substantive adjudication. </w:t>
      </w:r>
      <w:r w:rsidR="00E746AA">
        <w:rPr>
          <w:rFonts w:asciiTheme="majorHAnsi" w:hAnsiTheme="majorHAnsi"/>
        </w:rPr>
        <w:t xml:space="preserve">A large number of </w:t>
      </w:r>
      <w:r w:rsidR="00ED5030">
        <w:rPr>
          <w:rFonts w:asciiTheme="majorHAnsi" w:hAnsiTheme="majorHAnsi"/>
        </w:rPr>
        <w:t>those</w:t>
      </w:r>
      <w:r w:rsidR="007C049B">
        <w:rPr>
          <w:rFonts w:asciiTheme="majorHAnsi" w:hAnsiTheme="majorHAnsi"/>
        </w:rPr>
        <w:t xml:space="preserve"> claims</w:t>
      </w:r>
      <w:r w:rsidR="00AB505B" w:rsidRPr="003F284D">
        <w:rPr>
          <w:rFonts w:asciiTheme="majorHAnsi" w:hAnsiTheme="majorHAnsi"/>
        </w:rPr>
        <w:t xml:space="preserve"> are still </w:t>
      </w:r>
      <w:r w:rsidR="00E746AA">
        <w:rPr>
          <w:rFonts w:asciiTheme="majorHAnsi" w:hAnsiTheme="majorHAnsi"/>
        </w:rPr>
        <w:t>in the system</w:t>
      </w:r>
      <w:r w:rsidR="00AB505B" w:rsidRPr="003F284D">
        <w:rPr>
          <w:rFonts w:asciiTheme="majorHAnsi" w:hAnsiTheme="majorHAnsi"/>
        </w:rPr>
        <w:t xml:space="preserve">. </w:t>
      </w:r>
      <w:r w:rsidR="00E746AA">
        <w:rPr>
          <w:rFonts w:asciiTheme="majorHAnsi" w:hAnsiTheme="majorHAnsi"/>
        </w:rPr>
        <w:t>Only around</w:t>
      </w:r>
      <w:r w:rsidR="00AB505B" w:rsidRPr="003F284D">
        <w:rPr>
          <w:rFonts w:asciiTheme="majorHAnsi" w:hAnsiTheme="majorHAnsi"/>
        </w:rPr>
        <w:t xml:space="preserve"> 10 were concluded with final judicial decisions.  </w:t>
      </w:r>
      <w:r w:rsidR="00024703" w:rsidRPr="003F284D">
        <w:rPr>
          <w:rFonts w:asciiTheme="majorHAnsi" w:hAnsiTheme="majorHAnsi"/>
        </w:rPr>
        <w:t xml:space="preserve">Generally it is thought that the Act and the procedure it introduced were something of an experiment, and the experiment </w:t>
      </w:r>
      <w:r w:rsidR="00ED5030">
        <w:rPr>
          <w:rFonts w:asciiTheme="majorHAnsi" w:hAnsiTheme="majorHAnsi"/>
        </w:rPr>
        <w:t>is not</w:t>
      </w:r>
      <w:r w:rsidR="00024703" w:rsidRPr="003F284D">
        <w:rPr>
          <w:rFonts w:asciiTheme="majorHAnsi" w:hAnsiTheme="majorHAnsi"/>
        </w:rPr>
        <w:t xml:space="preserve"> working as well as </w:t>
      </w:r>
      <w:r w:rsidR="003F284D" w:rsidRPr="003F284D">
        <w:rPr>
          <w:rFonts w:asciiTheme="majorHAnsi" w:hAnsiTheme="majorHAnsi"/>
        </w:rPr>
        <w:t xml:space="preserve">it </w:t>
      </w:r>
      <w:r w:rsidR="00024703" w:rsidRPr="003F284D">
        <w:rPr>
          <w:rFonts w:asciiTheme="majorHAnsi" w:hAnsiTheme="majorHAnsi"/>
        </w:rPr>
        <w:t xml:space="preserve">was hoped. </w:t>
      </w:r>
      <w:r w:rsidR="00170633">
        <w:rPr>
          <w:rFonts w:asciiTheme="majorHAnsi" w:hAnsiTheme="majorHAnsi"/>
        </w:rPr>
        <w:t xml:space="preserve">This Report examines the </w:t>
      </w:r>
      <w:r w:rsidR="00DB08F7">
        <w:rPr>
          <w:rFonts w:asciiTheme="majorHAnsi" w:hAnsiTheme="majorHAnsi"/>
        </w:rPr>
        <w:t>problems that seem the most significant</w:t>
      </w:r>
      <w:r w:rsidR="005B49B9">
        <w:rPr>
          <w:rFonts w:asciiTheme="majorHAnsi" w:hAnsiTheme="majorHAnsi"/>
        </w:rPr>
        <w:t>, using case studies</w:t>
      </w:r>
      <w:r w:rsidR="00DB56BE">
        <w:rPr>
          <w:rFonts w:asciiTheme="majorHAnsi" w:hAnsiTheme="majorHAnsi"/>
        </w:rPr>
        <w:t xml:space="preserve"> </w:t>
      </w:r>
      <w:r w:rsidR="00DB56BE" w:rsidRPr="00DB56BE">
        <w:rPr>
          <w:rFonts w:asciiTheme="majorHAnsi" w:hAnsiTheme="majorHAnsi"/>
          <w:i/>
        </w:rPr>
        <w:t>(in Italic)</w:t>
      </w:r>
      <w:r w:rsidR="00DB08F7" w:rsidRPr="00DB56BE">
        <w:rPr>
          <w:rFonts w:asciiTheme="majorHAnsi" w:hAnsiTheme="majorHAnsi"/>
          <w:i/>
        </w:rPr>
        <w:t>.</w:t>
      </w:r>
      <w:r w:rsidR="00DB08F7">
        <w:rPr>
          <w:rFonts w:asciiTheme="majorHAnsi" w:hAnsiTheme="majorHAnsi"/>
        </w:rPr>
        <w:t xml:space="preserve"> The</w:t>
      </w:r>
      <w:r w:rsidR="00170633">
        <w:rPr>
          <w:rFonts w:asciiTheme="majorHAnsi" w:hAnsiTheme="majorHAnsi"/>
        </w:rPr>
        <w:t xml:space="preserve"> problems </w:t>
      </w:r>
      <w:r w:rsidR="006543A1">
        <w:rPr>
          <w:rFonts w:asciiTheme="majorHAnsi" w:hAnsiTheme="majorHAnsi"/>
        </w:rPr>
        <w:t>are</w:t>
      </w:r>
      <w:r w:rsidR="00E746AA">
        <w:rPr>
          <w:rFonts w:asciiTheme="majorHAnsi" w:hAnsiTheme="majorHAnsi"/>
        </w:rPr>
        <w:t>:</w:t>
      </w:r>
    </w:p>
    <w:p w14:paraId="6FA63538" w14:textId="77777777" w:rsidR="00E746AA" w:rsidRDefault="00E746AA" w:rsidP="00B44787">
      <w:pPr>
        <w:spacing w:line="276" w:lineRule="auto"/>
        <w:rPr>
          <w:rFonts w:asciiTheme="majorHAnsi" w:hAnsiTheme="majorHAnsi"/>
        </w:rPr>
      </w:pPr>
    </w:p>
    <w:p w14:paraId="7BCD0560" w14:textId="0ADF9D5C" w:rsidR="0029740C" w:rsidRPr="00F024B6" w:rsidRDefault="0029740C" w:rsidP="00F024B6">
      <w:pPr>
        <w:pStyle w:val="ListParagraph"/>
        <w:numPr>
          <w:ilvl w:val="0"/>
          <w:numId w:val="2"/>
        </w:numPr>
        <w:spacing w:line="276" w:lineRule="auto"/>
        <w:rPr>
          <w:rFonts w:asciiTheme="majorHAnsi" w:hAnsiTheme="majorHAnsi"/>
        </w:rPr>
      </w:pPr>
      <w:r>
        <w:rPr>
          <w:rFonts w:asciiTheme="majorHAnsi" w:hAnsiTheme="majorHAnsi"/>
        </w:rPr>
        <w:t xml:space="preserve">The </w:t>
      </w:r>
      <w:r w:rsidR="00E746AA">
        <w:rPr>
          <w:rFonts w:asciiTheme="majorHAnsi" w:hAnsiTheme="majorHAnsi"/>
        </w:rPr>
        <w:t>limited scope of the Act</w:t>
      </w:r>
      <w:r w:rsidR="00F024B6">
        <w:rPr>
          <w:rFonts w:asciiTheme="majorHAnsi" w:hAnsiTheme="majorHAnsi"/>
        </w:rPr>
        <w:t xml:space="preserve"> and other strict</w:t>
      </w:r>
      <w:r w:rsidR="0038775E" w:rsidRPr="00F024B6">
        <w:rPr>
          <w:rFonts w:asciiTheme="majorHAnsi" w:hAnsiTheme="majorHAnsi"/>
        </w:rPr>
        <w:t xml:space="preserve"> </w:t>
      </w:r>
      <w:r w:rsidR="008B1FCF" w:rsidRPr="00F024B6">
        <w:rPr>
          <w:rFonts w:asciiTheme="majorHAnsi" w:hAnsiTheme="majorHAnsi"/>
        </w:rPr>
        <w:t>certification criteria, some of which create barriers to bringing claims in cases where class actions would in fact be extremely useful</w:t>
      </w:r>
    </w:p>
    <w:p w14:paraId="3EB406CD" w14:textId="1B75C9FB" w:rsidR="00E916C5" w:rsidRDefault="00E916C5" w:rsidP="00E916C5">
      <w:pPr>
        <w:pStyle w:val="ListParagraph"/>
        <w:numPr>
          <w:ilvl w:val="0"/>
          <w:numId w:val="2"/>
        </w:numPr>
        <w:spacing w:line="276" w:lineRule="auto"/>
        <w:rPr>
          <w:rFonts w:asciiTheme="majorHAnsi" w:hAnsiTheme="majorHAnsi"/>
        </w:rPr>
      </w:pPr>
      <w:r>
        <w:rPr>
          <w:rFonts w:asciiTheme="majorHAnsi" w:hAnsiTheme="majorHAnsi"/>
        </w:rPr>
        <w:t>Lack of flexible funding mechanisms (the conditional fee arrangements permitted by the Act are not used in practice)</w:t>
      </w:r>
    </w:p>
    <w:p w14:paraId="504BF9A6" w14:textId="0C0E8A21" w:rsidR="0029740C" w:rsidRDefault="00E746AA" w:rsidP="00E746AA">
      <w:pPr>
        <w:pStyle w:val="ListParagraph"/>
        <w:numPr>
          <w:ilvl w:val="0"/>
          <w:numId w:val="2"/>
        </w:numPr>
        <w:spacing w:line="276" w:lineRule="auto"/>
        <w:rPr>
          <w:rFonts w:asciiTheme="majorHAnsi" w:hAnsiTheme="majorHAnsi"/>
        </w:rPr>
      </w:pPr>
      <w:r>
        <w:rPr>
          <w:rFonts w:asciiTheme="majorHAnsi" w:hAnsiTheme="majorHAnsi"/>
        </w:rPr>
        <w:t xml:space="preserve">The formalistic </w:t>
      </w:r>
      <w:r w:rsidR="00ED5030">
        <w:rPr>
          <w:rFonts w:asciiTheme="majorHAnsi" w:hAnsiTheme="majorHAnsi"/>
        </w:rPr>
        <w:t xml:space="preserve">and complex </w:t>
      </w:r>
      <w:r>
        <w:rPr>
          <w:rFonts w:asciiTheme="majorHAnsi" w:hAnsiTheme="majorHAnsi"/>
        </w:rPr>
        <w:t>structure of the proceedings, w</w:t>
      </w:r>
      <w:r w:rsidR="00DB08F7">
        <w:rPr>
          <w:rFonts w:asciiTheme="majorHAnsi" w:hAnsiTheme="majorHAnsi"/>
        </w:rPr>
        <w:t>ith the first formal stage (</w:t>
      </w:r>
      <w:r>
        <w:rPr>
          <w:rFonts w:asciiTheme="majorHAnsi" w:hAnsiTheme="majorHAnsi"/>
        </w:rPr>
        <w:t xml:space="preserve">certification) </w:t>
      </w:r>
      <w:r w:rsidR="00693A1D">
        <w:rPr>
          <w:rFonts w:asciiTheme="majorHAnsi" w:hAnsiTheme="majorHAnsi"/>
        </w:rPr>
        <w:t xml:space="preserve">and the stage of class formation </w:t>
      </w:r>
      <w:r w:rsidR="00DB08F7">
        <w:rPr>
          <w:rFonts w:asciiTheme="majorHAnsi" w:hAnsiTheme="majorHAnsi"/>
        </w:rPr>
        <w:t xml:space="preserve">often </w:t>
      </w:r>
      <w:r w:rsidR="0029740C">
        <w:rPr>
          <w:rFonts w:asciiTheme="majorHAnsi" w:hAnsiTheme="majorHAnsi"/>
        </w:rPr>
        <w:t xml:space="preserve">lasting </w:t>
      </w:r>
      <w:r w:rsidR="00DB08F7">
        <w:rPr>
          <w:rFonts w:asciiTheme="majorHAnsi" w:hAnsiTheme="majorHAnsi"/>
        </w:rPr>
        <w:t>between</w:t>
      </w:r>
      <w:r w:rsidR="0029740C">
        <w:rPr>
          <w:rFonts w:asciiTheme="majorHAnsi" w:hAnsiTheme="majorHAnsi"/>
        </w:rPr>
        <w:t xml:space="preserve"> 2 to 3 years (!)</w:t>
      </w:r>
    </w:p>
    <w:p w14:paraId="0409AA96" w14:textId="63FF6E43" w:rsidR="00AB505B" w:rsidRDefault="00024703" w:rsidP="00B44787">
      <w:pPr>
        <w:spacing w:line="276" w:lineRule="auto"/>
        <w:rPr>
          <w:rFonts w:asciiTheme="majorHAnsi" w:hAnsiTheme="majorHAnsi"/>
          <w:b/>
        </w:rPr>
      </w:pPr>
      <w:r w:rsidRPr="003F284D">
        <w:rPr>
          <w:rFonts w:asciiTheme="majorHAnsi" w:hAnsiTheme="majorHAnsi"/>
        </w:rPr>
        <w:t xml:space="preserve">Indeed, some commentators even talked of the death of class actions in Poland and called for their resuscitation. </w:t>
      </w:r>
      <w:r w:rsidR="00DD1CB8" w:rsidRPr="00D20571">
        <w:rPr>
          <w:rFonts w:asciiTheme="majorHAnsi" w:hAnsiTheme="majorHAnsi"/>
          <w:b/>
        </w:rPr>
        <w:t xml:space="preserve">The Ministry for Development has </w:t>
      </w:r>
      <w:r w:rsidR="008B530E" w:rsidRPr="00D20571">
        <w:rPr>
          <w:rFonts w:asciiTheme="majorHAnsi" w:hAnsiTheme="majorHAnsi"/>
          <w:b/>
        </w:rPr>
        <w:t xml:space="preserve">within the past couple </w:t>
      </w:r>
      <w:r w:rsidR="008B530E" w:rsidRPr="00D20571">
        <w:rPr>
          <w:rFonts w:asciiTheme="majorHAnsi" w:hAnsiTheme="majorHAnsi"/>
          <w:b/>
        </w:rPr>
        <w:lastRenderedPageBreak/>
        <w:t>of weeks</w:t>
      </w:r>
      <w:r w:rsidR="00DD1CB8" w:rsidRPr="00D20571">
        <w:rPr>
          <w:rFonts w:asciiTheme="majorHAnsi" w:hAnsiTheme="majorHAnsi"/>
          <w:b/>
        </w:rPr>
        <w:t xml:space="preserve"> </w:t>
      </w:r>
      <w:r w:rsidR="00C73BEC">
        <w:rPr>
          <w:rFonts w:asciiTheme="majorHAnsi" w:hAnsiTheme="majorHAnsi"/>
          <w:b/>
        </w:rPr>
        <w:t>announced a number of</w:t>
      </w:r>
      <w:r w:rsidR="00DD1CB8" w:rsidRPr="00D20571">
        <w:rPr>
          <w:rFonts w:asciiTheme="majorHAnsi" w:hAnsiTheme="majorHAnsi"/>
          <w:b/>
        </w:rPr>
        <w:t xml:space="preserve"> amendments </w:t>
      </w:r>
      <w:r w:rsidR="00C73BEC">
        <w:rPr>
          <w:rFonts w:asciiTheme="majorHAnsi" w:hAnsiTheme="majorHAnsi"/>
          <w:b/>
        </w:rPr>
        <w:t xml:space="preserve">of the Class Actions Act </w:t>
      </w:r>
      <w:r w:rsidR="00DD1CB8" w:rsidRPr="00D20571">
        <w:rPr>
          <w:rFonts w:asciiTheme="majorHAnsi" w:hAnsiTheme="majorHAnsi"/>
          <w:b/>
        </w:rPr>
        <w:t>to improve the functioning of the procedure.</w:t>
      </w:r>
      <w:r w:rsidR="00DD1CB8">
        <w:rPr>
          <w:rFonts w:asciiTheme="majorHAnsi" w:hAnsiTheme="majorHAnsi"/>
        </w:rPr>
        <w:t xml:space="preserve"> The amendments are part of a legislative pack</w:t>
      </w:r>
      <w:r w:rsidR="00EE5E1B">
        <w:rPr>
          <w:rFonts w:asciiTheme="majorHAnsi" w:hAnsiTheme="majorHAnsi"/>
        </w:rPr>
        <w:t>age</w:t>
      </w:r>
      <w:r w:rsidR="00DD1CB8">
        <w:rPr>
          <w:rFonts w:asciiTheme="majorHAnsi" w:hAnsiTheme="majorHAnsi"/>
        </w:rPr>
        <w:t xml:space="preserve"> aimed at </w:t>
      </w:r>
      <w:r w:rsidR="00C73BEC">
        <w:rPr>
          <w:rFonts w:asciiTheme="majorHAnsi" w:hAnsiTheme="majorHAnsi"/>
        </w:rPr>
        <w:t>creating better conditions for businesses</w:t>
      </w:r>
      <w:r w:rsidR="00DD1CB8">
        <w:rPr>
          <w:rFonts w:asciiTheme="majorHAnsi" w:hAnsiTheme="majorHAnsi"/>
        </w:rPr>
        <w:t xml:space="preserve"> (</w:t>
      </w:r>
      <w:r w:rsidR="00BE714D">
        <w:rPr>
          <w:rFonts w:asciiTheme="majorHAnsi" w:hAnsiTheme="majorHAnsi"/>
        </w:rPr>
        <w:t>‘</w:t>
      </w:r>
      <w:r w:rsidR="00DB08F7">
        <w:rPr>
          <w:rFonts w:asciiTheme="majorHAnsi" w:hAnsiTheme="majorHAnsi"/>
          <w:i/>
        </w:rPr>
        <w:t xml:space="preserve">100 </w:t>
      </w:r>
      <w:proofErr w:type="spellStart"/>
      <w:r w:rsidR="00DB08F7">
        <w:rPr>
          <w:rFonts w:asciiTheme="majorHAnsi" w:hAnsiTheme="majorHAnsi"/>
          <w:i/>
        </w:rPr>
        <w:t>Zmian</w:t>
      </w:r>
      <w:proofErr w:type="spellEnd"/>
      <w:r w:rsidR="00DB08F7">
        <w:rPr>
          <w:rFonts w:asciiTheme="majorHAnsi" w:hAnsiTheme="majorHAnsi"/>
          <w:i/>
        </w:rPr>
        <w:t xml:space="preserve"> </w:t>
      </w:r>
      <w:proofErr w:type="spellStart"/>
      <w:r w:rsidR="00DB08F7">
        <w:rPr>
          <w:rFonts w:asciiTheme="majorHAnsi" w:hAnsiTheme="majorHAnsi"/>
          <w:i/>
        </w:rPr>
        <w:t>dla</w:t>
      </w:r>
      <w:proofErr w:type="spellEnd"/>
      <w:r w:rsidR="00DB08F7">
        <w:rPr>
          <w:rFonts w:asciiTheme="majorHAnsi" w:hAnsiTheme="majorHAnsi"/>
          <w:i/>
        </w:rPr>
        <w:t xml:space="preserve"> Firm</w:t>
      </w:r>
      <w:r w:rsidR="00BE714D">
        <w:rPr>
          <w:rFonts w:asciiTheme="majorHAnsi" w:hAnsiTheme="majorHAnsi"/>
          <w:i/>
        </w:rPr>
        <w:t>’</w:t>
      </w:r>
      <w:r w:rsidR="00DD1CB8" w:rsidRPr="00DB08F7">
        <w:rPr>
          <w:rFonts w:asciiTheme="majorHAnsi" w:hAnsiTheme="majorHAnsi"/>
          <w:i/>
        </w:rPr>
        <w:t>).</w:t>
      </w:r>
      <w:r w:rsidR="008B1FCF" w:rsidRPr="00DB08F7">
        <w:rPr>
          <w:rStyle w:val="FootnoteReference"/>
          <w:rFonts w:asciiTheme="majorHAnsi" w:hAnsiTheme="majorHAnsi"/>
          <w:i/>
        </w:rPr>
        <w:footnoteReference w:id="2"/>
      </w:r>
      <w:r w:rsidR="006543A1" w:rsidRPr="00170633">
        <w:rPr>
          <w:rFonts w:asciiTheme="majorHAnsi" w:hAnsiTheme="majorHAnsi"/>
          <w:b/>
          <w:i/>
        </w:rPr>
        <w:t xml:space="preserve"> </w:t>
      </w:r>
      <w:r w:rsidR="00D20571" w:rsidRPr="00170633">
        <w:rPr>
          <w:rFonts w:asciiTheme="majorHAnsi" w:hAnsiTheme="majorHAnsi"/>
          <w:b/>
        </w:rPr>
        <w:t>As one of the potential changes, the Ministry will be proposing an introduction of an opt-out class action (limited to certain types of cases only). The exact details have not yet been set out</w:t>
      </w:r>
      <w:r w:rsidR="00075CBE" w:rsidRPr="00170633">
        <w:rPr>
          <w:rFonts w:asciiTheme="majorHAnsi" w:hAnsiTheme="majorHAnsi"/>
          <w:b/>
        </w:rPr>
        <w:t>.</w:t>
      </w:r>
      <w:r w:rsidR="00075CBE">
        <w:rPr>
          <w:rFonts w:asciiTheme="majorHAnsi" w:hAnsiTheme="majorHAnsi"/>
        </w:rPr>
        <w:t xml:space="preserve"> </w:t>
      </w:r>
      <w:r w:rsidR="00170633">
        <w:rPr>
          <w:rFonts w:asciiTheme="majorHAnsi" w:hAnsiTheme="majorHAnsi"/>
        </w:rPr>
        <w:t>The o</w:t>
      </w:r>
      <w:r w:rsidR="00ED5030">
        <w:rPr>
          <w:rFonts w:asciiTheme="majorHAnsi" w:hAnsiTheme="majorHAnsi"/>
        </w:rPr>
        <w:t xml:space="preserve">ther potential </w:t>
      </w:r>
      <w:r w:rsidR="002766A5">
        <w:rPr>
          <w:rFonts w:asciiTheme="majorHAnsi" w:hAnsiTheme="majorHAnsi"/>
        </w:rPr>
        <w:t>changes that have been</w:t>
      </w:r>
      <w:r w:rsidR="00170633">
        <w:rPr>
          <w:rFonts w:asciiTheme="majorHAnsi" w:hAnsiTheme="majorHAnsi"/>
        </w:rPr>
        <w:t xml:space="preserve"> published so far </w:t>
      </w:r>
      <w:r w:rsidR="00ED5030">
        <w:rPr>
          <w:rFonts w:asciiTheme="majorHAnsi" w:hAnsiTheme="majorHAnsi"/>
        </w:rPr>
        <w:t>are mentioned throughout this Report</w:t>
      </w:r>
      <w:r w:rsidR="00800130">
        <w:rPr>
          <w:rFonts w:asciiTheme="majorHAnsi" w:hAnsiTheme="majorHAnsi"/>
        </w:rPr>
        <w:t xml:space="preserve"> </w:t>
      </w:r>
      <w:r w:rsidR="00800130" w:rsidRPr="00800130">
        <w:rPr>
          <w:rFonts w:asciiTheme="majorHAnsi" w:hAnsiTheme="majorHAnsi"/>
          <w:b/>
        </w:rPr>
        <w:t>(in bold</w:t>
      </w:r>
      <w:r w:rsidR="00800130">
        <w:rPr>
          <w:rFonts w:asciiTheme="majorHAnsi" w:hAnsiTheme="majorHAnsi"/>
          <w:b/>
        </w:rPr>
        <w:t xml:space="preserve"> for easier recognition</w:t>
      </w:r>
      <w:r w:rsidR="00800130" w:rsidRPr="00800130">
        <w:rPr>
          <w:rFonts w:asciiTheme="majorHAnsi" w:hAnsiTheme="majorHAnsi"/>
          <w:b/>
        </w:rPr>
        <w:t>)</w:t>
      </w:r>
      <w:r w:rsidR="00D20571" w:rsidRPr="00800130">
        <w:rPr>
          <w:rFonts w:asciiTheme="majorHAnsi" w:hAnsiTheme="majorHAnsi"/>
          <w:b/>
        </w:rPr>
        <w:t xml:space="preserve">. </w:t>
      </w:r>
    </w:p>
    <w:p w14:paraId="25D7D04E" w14:textId="77777777" w:rsidR="007507E9" w:rsidRPr="00800130" w:rsidRDefault="007507E9" w:rsidP="00B44787">
      <w:pPr>
        <w:spacing w:line="276" w:lineRule="auto"/>
        <w:rPr>
          <w:rFonts w:asciiTheme="majorHAnsi" w:hAnsiTheme="majorHAnsi"/>
          <w:b/>
        </w:rPr>
      </w:pPr>
    </w:p>
    <w:p w14:paraId="01E1F25F" w14:textId="77777777" w:rsidR="00AB505B" w:rsidRPr="003F284D" w:rsidRDefault="00AB505B" w:rsidP="00B44787">
      <w:pPr>
        <w:spacing w:line="276" w:lineRule="auto"/>
        <w:rPr>
          <w:rFonts w:asciiTheme="majorHAnsi" w:hAnsiTheme="majorHAnsi"/>
        </w:rPr>
      </w:pPr>
    </w:p>
    <w:p w14:paraId="0ED5C52A" w14:textId="065E1614" w:rsidR="00BA51E8" w:rsidRPr="002766A5" w:rsidRDefault="00AB505B" w:rsidP="002766A5">
      <w:pPr>
        <w:pStyle w:val="ListParagraph"/>
        <w:numPr>
          <w:ilvl w:val="0"/>
          <w:numId w:val="7"/>
        </w:numPr>
        <w:spacing w:line="276" w:lineRule="auto"/>
        <w:rPr>
          <w:rFonts w:asciiTheme="majorHAnsi" w:hAnsiTheme="majorHAnsi"/>
          <w:b/>
          <w:bCs/>
          <w:caps/>
        </w:rPr>
      </w:pPr>
      <w:r w:rsidRPr="002766A5">
        <w:rPr>
          <w:rFonts w:asciiTheme="majorHAnsi" w:hAnsiTheme="majorHAnsi"/>
          <w:b/>
          <w:bCs/>
          <w:caps/>
        </w:rPr>
        <w:t>Overview of the Class Actions Act:</w:t>
      </w:r>
    </w:p>
    <w:p w14:paraId="5935F753" w14:textId="77777777" w:rsidR="002766A5" w:rsidRPr="002766A5" w:rsidRDefault="002766A5" w:rsidP="002766A5">
      <w:pPr>
        <w:spacing w:line="276" w:lineRule="auto"/>
        <w:rPr>
          <w:rFonts w:asciiTheme="majorHAnsi" w:hAnsiTheme="majorHAnsi"/>
          <w:b/>
          <w:bCs/>
          <w:caps/>
        </w:rPr>
      </w:pPr>
    </w:p>
    <w:p w14:paraId="6C8741C9" w14:textId="3A81B00E" w:rsidR="002E4D2D" w:rsidRDefault="00AB505B" w:rsidP="00B44787">
      <w:pPr>
        <w:spacing w:after="200" w:line="276" w:lineRule="auto"/>
        <w:jc w:val="both"/>
        <w:rPr>
          <w:rFonts w:asciiTheme="majorHAnsi" w:eastAsia="SimSun" w:hAnsiTheme="majorHAnsi" w:cs="Times New Roman"/>
        </w:rPr>
      </w:pPr>
      <w:r w:rsidRPr="003F284D">
        <w:rPr>
          <w:rFonts w:asciiTheme="majorHAnsi" w:hAnsiTheme="majorHAnsi"/>
        </w:rPr>
        <w:t xml:space="preserve">The Act introduced an opt-in procedure that can be brought </w:t>
      </w:r>
      <w:r w:rsidRPr="003F284D">
        <w:rPr>
          <w:rFonts w:asciiTheme="majorHAnsi" w:eastAsia="Calibri" w:hAnsiTheme="majorHAnsi" w:cs="Times New Roman"/>
        </w:rPr>
        <w:t>only by a class member or</w:t>
      </w:r>
      <w:r w:rsidRPr="003F284D">
        <w:rPr>
          <w:rFonts w:asciiTheme="majorHAnsi" w:eastAsia="SimSun" w:hAnsiTheme="majorHAnsi" w:cs="Times New Roman"/>
        </w:rPr>
        <w:t xml:space="preserve"> by a regional consumer ombudsman (public body), in the name of at least 10 people.</w:t>
      </w:r>
      <w:r w:rsidRPr="003F284D">
        <w:rPr>
          <w:rFonts w:asciiTheme="majorHAnsi" w:eastAsia="SimSun" w:hAnsiTheme="majorHAnsi" w:cs="Times New Roman"/>
          <w:vertAlign w:val="superscript"/>
        </w:rPr>
        <w:footnoteReference w:id="3"/>
      </w:r>
      <w:r w:rsidRPr="003F284D">
        <w:rPr>
          <w:rFonts w:asciiTheme="majorHAnsi" w:eastAsia="SimSun" w:hAnsiTheme="majorHAnsi" w:cs="Times New Roman"/>
        </w:rPr>
        <w:t xml:space="preserve"> </w:t>
      </w:r>
      <w:r w:rsidR="00443851">
        <w:rPr>
          <w:rFonts w:asciiTheme="majorHAnsi" w:eastAsia="SimSun" w:hAnsiTheme="majorHAnsi" w:cs="Times New Roman"/>
        </w:rPr>
        <w:t>Unless the representative is a practicing lawyer, legal representation is mandatory</w:t>
      </w:r>
      <w:r w:rsidR="008B1FCF" w:rsidRPr="003F284D">
        <w:rPr>
          <w:rFonts w:asciiTheme="majorHAnsi" w:eastAsia="Calibri" w:hAnsiTheme="majorHAnsi" w:cs="Times New Roman"/>
        </w:rPr>
        <w:t>.</w:t>
      </w:r>
      <w:r w:rsidR="008B1FCF" w:rsidRPr="003F284D">
        <w:rPr>
          <w:rFonts w:asciiTheme="majorHAnsi" w:eastAsia="Calibri" w:hAnsiTheme="majorHAnsi" w:cs="Times New Roman"/>
          <w:vertAlign w:val="superscript"/>
        </w:rPr>
        <w:footnoteReference w:id="4"/>
      </w:r>
      <w:r w:rsidRPr="003F284D">
        <w:rPr>
          <w:rFonts w:asciiTheme="majorHAnsi" w:eastAsia="SimSun" w:hAnsiTheme="majorHAnsi" w:cs="Times New Roman"/>
        </w:rPr>
        <w:t xml:space="preserve"> The courts with the jurisdiction to consider class actions are district courts, not the lower regional courts. A panel of three judges is required. </w:t>
      </w:r>
    </w:p>
    <w:p w14:paraId="24E1DD15" w14:textId="77777777" w:rsidR="005B49B9" w:rsidRDefault="00775581" w:rsidP="00B44787">
      <w:pPr>
        <w:spacing w:after="200" w:line="276" w:lineRule="auto"/>
        <w:jc w:val="both"/>
        <w:rPr>
          <w:rFonts w:asciiTheme="majorHAnsi" w:eastAsia="Calibri" w:hAnsiTheme="majorHAnsi" w:cs="Times New Roman"/>
        </w:rPr>
      </w:pPr>
      <w:r w:rsidRPr="003F284D">
        <w:rPr>
          <w:rFonts w:asciiTheme="majorHAnsi" w:eastAsia="Calibri" w:hAnsiTheme="majorHAnsi" w:cs="Times New Roman"/>
        </w:rPr>
        <w:t xml:space="preserve">The Act does not allow class representatives to obtain legal aid (in Poland </w:t>
      </w:r>
      <w:r w:rsidR="008B1FCF">
        <w:rPr>
          <w:rFonts w:asciiTheme="majorHAnsi" w:eastAsia="Calibri" w:hAnsiTheme="majorHAnsi" w:cs="Times New Roman"/>
        </w:rPr>
        <w:t xml:space="preserve">legal aid </w:t>
      </w:r>
      <w:r w:rsidRPr="003F284D">
        <w:rPr>
          <w:rFonts w:asciiTheme="majorHAnsi" w:eastAsia="Calibri" w:hAnsiTheme="majorHAnsi" w:cs="Times New Roman"/>
        </w:rPr>
        <w:t>consists of legal assistance nominated by court and a waiver of court fees).</w:t>
      </w:r>
      <w:r w:rsidRPr="003F284D">
        <w:rPr>
          <w:rFonts w:asciiTheme="majorHAnsi" w:hAnsiTheme="majorHAnsi"/>
          <w:vertAlign w:val="superscript"/>
        </w:rPr>
        <w:footnoteReference w:id="5"/>
      </w:r>
      <w:r w:rsidRPr="003F284D">
        <w:rPr>
          <w:rFonts w:asciiTheme="majorHAnsi" w:eastAsia="Calibri" w:hAnsiTheme="majorHAnsi" w:cs="Times New Roman"/>
        </w:rPr>
        <w:t xml:space="preserve"> It sets the court fee for lodging the case at 2% of the value of the claim,</w:t>
      </w:r>
      <w:r w:rsidRPr="003F284D">
        <w:rPr>
          <w:rFonts w:asciiTheme="majorHAnsi" w:hAnsiTheme="majorHAnsi"/>
          <w:vertAlign w:val="superscript"/>
        </w:rPr>
        <w:footnoteReference w:id="6"/>
      </w:r>
      <w:r w:rsidRPr="003F284D">
        <w:rPr>
          <w:rFonts w:asciiTheme="majorHAnsi" w:eastAsia="Calibri" w:hAnsiTheme="majorHAnsi" w:cs="Times New Roman"/>
        </w:rPr>
        <w:t xml:space="preserve"> which is lower than in most other types of litigation and yet may be a high amount considering the potentially high numbers of people involved. In cases where a regional consumer ombudsman is a class represen</w:t>
      </w:r>
      <w:r>
        <w:rPr>
          <w:rFonts w:asciiTheme="majorHAnsi" w:eastAsia="Calibri" w:hAnsiTheme="majorHAnsi" w:cs="Times New Roman"/>
        </w:rPr>
        <w:t xml:space="preserve">tative, the court fee is waived. </w:t>
      </w:r>
      <w:r w:rsidRPr="003F284D">
        <w:rPr>
          <w:rFonts w:asciiTheme="majorHAnsi" w:eastAsia="Calibri" w:hAnsiTheme="majorHAnsi" w:cs="Times New Roman"/>
        </w:rPr>
        <w:t>In contrast to the rules of lawyers’ ethics</w:t>
      </w:r>
      <w:r w:rsidR="007507E9">
        <w:rPr>
          <w:rFonts w:asciiTheme="majorHAnsi" w:eastAsia="Calibri" w:hAnsiTheme="majorHAnsi" w:cs="Times New Roman"/>
        </w:rPr>
        <w:t xml:space="preserve"> applicable in civil proceedings in general</w:t>
      </w:r>
      <w:r w:rsidRPr="003F284D">
        <w:rPr>
          <w:rFonts w:asciiTheme="majorHAnsi" w:eastAsia="Calibri" w:hAnsiTheme="majorHAnsi" w:cs="Times New Roman"/>
        </w:rPr>
        <w:t>,</w:t>
      </w:r>
      <w:r w:rsidRPr="003F284D">
        <w:rPr>
          <w:rFonts w:asciiTheme="majorHAnsi" w:eastAsia="Calibri" w:hAnsiTheme="majorHAnsi" w:cs="Times New Roman"/>
          <w:vertAlign w:val="superscript"/>
        </w:rPr>
        <w:footnoteReference w:id="7"/>
      </w:r>
      <w:r w:rsidRPr="003F284D">
        <w:rPr>
          <w:rFonts w:asciiTheme="majorHAnsi" w:eastAsia="Calibri" w:hAnsiTheme="majorHAnsi" w:cs="Times New Roman"/>
        </w:rPr>
        <w:t xml:space="preserve"> the Class Actions Act allows lawyers to agree to a success fee limited to the maximum of 20% of the amount recovered for the class. </w:t>
      </w:r>
    </w:p>
    <w:p w14:paraId="3AB7001E" w14:textId="07EB2A33" w:rsidR="00C6599A" w:rsidRPr="005B49B9" w:rsidRDefault="00BA51E8" w:rsidP="00B44787">
      <w:pPr>
        <w:spacing w:after="200" w:line="276" w:lineRule="auto"/>
        <w:jc w:val="both"/>
        <w:rPr>
          <w:rFonts w:asciiTheme="majorHAnsi" w:eastAsia="Calibri" w:hAnsiTheme="majorHAnsi" w:cs="Times New Roman"/>
        </w:rPr>
      </w:pPr>
      <w:r>
        <w:rPr>
          <w:rFonts w:asciiTheme="majorHAnsi" w:eastAsia="Calibri" w:hAnsiTheme="majorHAnsi" w:cs="Times New Roman"/>
          <w:b/>
        </w:rPr>
        <w:t xml:space="preserve">III. </w:t>
      </w:r>
      <w:r w:rsidR="00C6599A" w:rsidRPr="00C6599A">
        <w:rPr>
          <w:rFonts w:asciiTheme="majorHAnsi" w:eastAsia="Calibri" w:hAnsiTheme="majorHAnsi" w:cs="Times New Roman"/>
          <w:b/>
        </w:rPr>
        <w:t>STATISTICS:</w:t>
      </w:r>
    </w:p>
    <w:p w14:paraId="61607FF2" w14:textId="3BDCC1E3" w:rsidR="00693A1D" w:rsidRPr="005B49B9" w:rsidRDefault="00C6599A" w:rsidP="00B44787">
      <w:pPr>
        <w:spacing w:after="200" w:line="276" w:lineRule="auto"/>
        <w:jc w:val="both"/>
        <w:rPr>
          <w:rFonts w:asciiTheme="majorHAnsi" w:eastAsia="Calibri" w:hAnsiTheme="majorHAnsi" w:cs="Times New Roman"/>
          <w:sz w:val="22"/>
          <w:szCs w:val="22"/>
        </w:rPr>
      </w:pPr>
      <w:r w:rsidRPr="005B49B9">
        <w:rPr>
          <w:rFonts w:asciiTheme="majorHAnsi" w:eastAsia="Calibri" w:hAnsiTheme="majorHAnsi" w:cs="Times New Roman"/>
          <w:sz w:val="22"/>
          <w:szCs w:val="22"/>
        </w:rPr>
        <w:t xml:space="preserve">The Ministry of Justice provided the following statistical information concerning numbers of class actions brought </w:t>
      </w:r>
      <w:r w:rsidR="00364BCC" w:rsidRPr="005B49B9">
        <w:rPr>
          <w:rFonts w:asciiTheme="majorHAnsi" w:eastAsia="Calibri" w:hAnsiTheme="majorHAnsi" w:cs="Times New Roman"/>
          <w:sz w:val="22"/>
          <w:szCs w:val="22"/>
        </w:rPr>
        <w:t xml:space="preserve">before district courts (first instance) </w:t>
      </w:r>
      <w:r w:rsidRPr="005B49B9">
        <w:rPr>
          <w:rFonts w:asciiTheme="majorHAnsi" w:eastAsia="Calibri" w:hAnsiTheme="majorHAnsi" w:cs="Times New Roman"/>
          <w:sz w:val="22"/>
          <w:szCs w:val="22"/>
        </w:rPr>
        <w:t>in civil cases</w:t>
      </w:r>
      <w:r w:rsidR="0027316A" w:rsidRPr="005B49B9">
        <w:rPr>
          <w:rFonts w:asciiTheme="majorHAnsi" w:eastAsia="Calibri" w:hAnsiTheme="majorHAnsi" w:cs="Times New Roman"/>
          <w:sz w:val="22"/>
          <w:szCs w:val="22"/>
        </w:rPr>
        <w:t xml:space="preserve"> between 2010 and </w:t>
      </w:r>
      <w:r w:rsidR="00364BCC" w:rsidRPr="005B49B9">
        <w:rPr>
          <w:rFonts w:asciiTheme="majorHAnsi" w:eastAsia="Calibri" w:hAnsiTheme="majorHAnsi" w:cs="Times New Roman"/>
          <w:sz w:val="22"/>
          <w:szCs w:val="22"/>
        </w:rPr>
        <w:t>end of June</w:t>
      </w:r>
      <w:r w:rsidR="0027316A" w:rsidRPr="005B49B9">
        <w:rPr>
          <w:rFonts w:asciiTheme="majorHAnsi" w:eastAsia="Calibri" w:hAnsiTheme="majorHAnsi" w:cs="Times New Roman"/>
          <w:sz w:val="22"/>
          <w:szCs w:val="22"/>
        </w:rPr>
        <w:t xml:space="preserve"> 2016:</w:t>
      </w:r>
      <w:r w:rsidR="00793C17" w:rsidRPr="005B49B9">
        <w:rPr>
          <w:rStyle w:val="FootnoteReference"/>
          <w:rFonts w:asciiTheme="majorHAnsi" w:eastAsia="Calibri" w:hAnsiTheme="majorHAnsi" w:cs="Times New Roman"/>
          <w:sz w:val="22"/>
          <w:szCs w:val="22"/>
        </w:rPr>
        <w:footnoteReference w:id="8"/>
      </w:r>
      <w:r w:rsidR="0027316A" w:rsidRPr="005B49B9">
        <w:rPr>
          <w:rFonts w:asciiTheme="majorHAnsi" w:eastAsia="Calibri" w:hAnsiTheme="majorHAnsi" w:cs="Times New Roman"/>
          <w:sz w:val="22"/>
          <w:szCs w:val="22"/>
        </w:rPr>
        <w:t xml:space="preserve"> </w:t>
      </w:r>
    </w:p>
    <w:tbl>
      <w:tblPr>
        <w:tblW w:w="9802" w:type="dxa"/>
        <w:tblInd w:w="93" w:type="dxa"/>
        <w:tblLook w:val="04A0" w:firstRow="1" w:lastRow="0" w:firstColumn="1" w:lastColumn="0" w:noHBand="0" w:noVBand="1"/>
      </w:tblPr>
      <w:tblGrid>
        <w:gridCol w:w="1349"/>
        <w:gridCol w:w="1403"/>
        <w:gridCol w:w="1195"/>
        <w:gridCol w:w="1586"/>
        <w:gridCol w:w="1405"/>
        <w:gridCol w:w="1458"/>
        <w:gridCol w:w="1495"/>
      </w:tblGrid>
      <w:tr w:rsidR="00C6599A" w:rsidRPr="005B49B9" w14:paraId="5ACA7DCA" w14:textId="77777777" w:rsidTr="00BA51E8">
        <w:trPr>
          <w:trHeight w:val="405"/>
        </w:trPr>
        <w:tc>
          <w:tcPr>
            <w:tcW w:w="1349" w:type="dxa"/>
            <w:vMerge w:val="restart"/>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206F8AB8" w14:textId="5420C6FF" w:rsidR="00C6599A" w:rsidRPr="005B49B9" w:rsidRDefault="005326C9" w:rsidP="00C6599A">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Year</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72298324" w14:textId="713DA3EF" w:rsidR="00C6599A" w:rsidRPr="005B49B9" w:rsidRDefault="005326C9" w:rsidP="00C6599A">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Brought</w:t>
            </w:r>
          </w:p>
        </w:tc>
        <w:tc>
          <w:tcPr>
            <w:tcW w:w="5555" w:type="dxa"/>
            <w:gridSpan w:val="4"/>
            <w:tcBorders>
              <w:top w:val="single" w:sz="4" w:space="0" w:color="auto"/>
              <w:left w:val="nil"/>
              <w:bottom w:val="single" w:sz="4" w:space="0" w:color="auto"/>
              <w:right w:val="single" w:sz="4" w:space="0" w:color="auto"/>
            </w:tcBorders>
            <w:shd w:val="clear" w:color="000000" w:fill="31869B"/>
            <w:noWrap/>
            <w:vAlign w:val="center"/>
            <w:hideMark/>
          </w:tcPr>
          <w:p w14:paraId="3D98F52A" w14:textId="19E520E1" w:rsidR="00C6599A" w:rsidRPr="005B49B9" w:rsidRDefault="00364BCC" w:rsidP="00C6599A">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Processed</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31869B"/>
            <w:noWrap/>
            <w:vAlign w:val="center"/>
            <w:hideMark/>
          </w:tcPr>
          <w:p w14:paraId="3002141E" w14:textId="0277DC3B" w:rsidR="00C6599A" w:rsidRPr="005B49B9" w:rsidRDefault="005326C9" w:rsidP="00C6599A">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Remaining</w:t>
            </w:r>
          </w:p>
        </w:tc>
      </w:tr>
      <w:tr w:rsidR="00C6599A" w:rsidRPr="005B49B9" w14:paraId="10F350CE" w14:textId="77777777" w:rsidTr="00BA51E8">
        <w:trPr>
          <w:trHeight w:val="315"/>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2548A5BF" w14:textId="77777777" w:rsidR="00C6599A" w:rsidRPr="005B49B9" w:rsidRDefault="00C6599A" w:rsidP="00C6599A">
            <w:pPr>
              <w:rPr>
                <w:rFonts w:ascii="Arial" w:eastAsia="Times New Roman" w:hAnsi="Arial" w:cs="Arial"/>
                <w:color w:val="F2F2F2"/>
                <w:sz w:val="22"/>
                <w:szCs w:val="22"/>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F0B516C" w14:textId="77777777" w:rsidR="00C6599A" w:rsidRPr="005B49B9" w:rsidRDefault="00C6599A" w:rsidP="00C6599A">
            <w:pPr>
              <w:rPr>
                <w:rFonts w:ascii="Arial" w:eastAsia="Times New Roman" w:hAnsi="Arial" w:cs="Arial"/>
                <w:color w:val="F2F2F2"/>
                <w:sz w:val="22"/>
                <w:szCs w:val="22"/>
                <w:lang w:val="en-US"/>
              </w:rPr>
            </w:pPr>
          </w:p>
        </w:tc>
        <w:tc>
          <w:tcPr>
            <w:tcW w:w="1106" w:type="dxa"/>
            <w:vMerge w:val="restart"/>
            <w:tcBorders>
              <w:top w:val="nil"/>
              <w:left w:val="single" w:sz="4" w:space="0" w:color="auto"/>
              <w:bottom w:val="single" w:sz="4" w:space="0" w:color="auto"/>
              <w:right w:val="single" w:sz="4" w:space="0" w:color="auto"/>
            </w:tcBorders>
            <w:shd w:val="clear" w:color="000000" w:fill="31869B"/>
            <w:noWrap/>
            <w:vAlign w:val="center"/>
            <w:hideMark/>
          </w:tcPr>
          <w:p w14:paraId="203F8F8D" w14:textId="354BC2BA" w:rsidR="00C6599A" w:rsidRPr="005B49B9" w:rsidRDefault="005326C9" w:rsidP="00C6599A">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altogether</w:t>
            </w:r>
            <w:proofErr w:type="gramEnd"/>
          </w:p>
        </w:tc>
        <w:tc>
          <w:tcPr>
            <w:tcW w:w="4449" w:type="dxa"/>
            <w:gridSpan w:val="3"/>
            <w:tcBorders>
              <w:top w:val="single" w:sz="4" w:space="0" w:color="auto"/>
              <w:left w:val="nil"/>
              <w:bottom w:val="single" w:sz="4" w:space="0" w:color="auto"/>
              <w:right w:val="single" w:sz="4" w:space="0" w:color="auto"/>
            </w:tcBorders>
            <w:shd w:val="clear" w:color="000000" w:fill="31869B"/>
            <w:noWrap/>
            <w:vAlign w:val="center"/>
            <w:hideMark/>
          </w:tcPr>
          <w:p w14:paraId="4172DCAE" w14:textId="069AB146" w:rsidR="00C6599A" w:rsidRPr="005B49B9" w:rsidRDefault="005326C9" w:rsidP="00C6599A">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including</w:t>
            </w:r>
            <w:proofErr w:type="gramEnd"/>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6E88CB7C" w14:textId="77777777" w:rsidR="00C6599A" w:rsidRPr="005B49B9" w:rsidRDefault="00C6599A" w:rsidP="00C6599A">
            <w:pPr>
              <w:rPr>
                <w:rFonts w:ascii="Arial" w:eastAsia="Times New Roman" w:hAnsi="Arial" w:cs="Arial"/>
                <w:color w:val="F2F2F2"/>
                <w:sz w:val="22"/>
                <w:szCs w:val="22"/>
                <w:lang w:val="en-US"/>
              </w:rPr>
            </w:pPr>
          </w:p>
        </w:tc>
      </w:tr>
      <w:tr w:rsidR="00C6599A" w:rsidRPr="005B49B9" w14:paraId="5AC722F9" w14:textId="77777777" w:rsidTr="00BA51E8">
        <w:trPr>
          <w:trHeight w:val="360"/>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616FB2F2" w14:textId="77777777" w:rsidR="00C6599A" w:rsidRPr="005B49B9" w:rsidRDefault="00C6599A" w:rsidP="00C6599A">
            <w:pPr>
              <w:rPr>
                <w:rFonts w:ascii="Arial" w:eastAsia="Times New Roman" w:hAnsi="Arial" w:cs="Arial"/>
                <w:color w:val="F2F2F2"/>
                <w:sz w:val="22"/>
                <w:szCs w:val="22"/>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530CC07" w14:textId="77777777" w:rsidR="00C6599A" w:rsidRPr="005B49B9" w:rsidRDefault="00C6599A" w:rsidP="00C6599A">
            <w:pPr>
              <w:rPr>
                <w:rFonts w:ascii="Arial" w:eastAsia="Times New Roman" w:hAnsi="Arial" w:cs="Arial"/>
                <w:color w:val="F2F2F2"/>
                <w:sz w:val="22"/>
                <w:szCs w:val="22"/>
                <w:lang w:val="en-US"/>
              </w:rPr>
            </w:pPr>
          </w:p>
        </w:tc>
        <w:tc>
          <w:tcPr>
            <w:tcW w:w="1106" w:type="dxa"/>
            <w:vMerge/>
            <w:tcBorders>
              <w:top w:val="nil"/>
              <w:left w:val="single" w:sz="4" w:space="0" w:color="auto"/>
              <w:bottom w:val="single" w:sz="4" w:space="0" w:color="auto"/>
              <w:right w:val="single" w:sz="4" w:space="0" w:color="auto"/>
            </w:tcBorders>
            <w:vAlign w:val="center"/>
            <w:hideMark/>
          </w:tcPr>
          <w:p w14:paraId="0C0FE16B" w14:textId="77777777" w:rsidR="00C6599A" w:rsidRPr="005B49B9" w:rsidRDefault="00C6599A" w:rsidP="00C6599A">
            <w:pPr>
              <w:rPr>
                <w:rFonts w:ascii="Arial" w:eastAsia="Times New Roman" w:hAnsi="Arial" w:cs="Arial"/>
                <w:color w:val="F2F2F2"/>
                <w:sz w:val="22"/>
                <w:szCs w:val="22"/>
                <w:lang w:val="en-US"/>
              </w:rPr>
            </w:pPr>
          </w:p>
        </w:tc>
        <w:tc>
          <w:tcPr>
            <w:tcW w:w="1586" w:type="dxa"/>
            <w:tcBorders>
              <w:top w:val="nil"/>
              <w:left w:val="nil"/>
              <w:bottom w:val="nil"/>
              <w:right w:val="single" w:sz="4" w:space="0" w:color="auto"/>
            </w:tcBorders>
            <w:shd w:val="clear" w:color="000000" w:fill="31869B"/>
            <w:noWrap/>
            <w:vAlign w:val="center"/>
            <w:hideMark/>
          </w:tcPr>
          <w:p w14:paraId="5847742D" w14:textId="1C12DED5" w:rsidR="00C6599A" w:rsidRPr="005B49B9" w:rsidRDefault="005326C9" w:rsidP="00C6599A">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rejected</w:t>
            </w:r>
            <w:proofErr w:type="gramEnd"/>
            <w:r w:rsidRPr="005B49B9">
              <w:rPr>
                <w:rStyle w:val="FootnoteReference"/>
                <w:rFonts w:ascii="Arial" w:eastAsia="Times New Roman" w:hAnsi="Arial" w:cs="Arial"/>
                <w:color w:val="F2F2F2"/>
                <w:sz w:val="22"/>
                <w:szCs w:val="22"/>
                <w:lang w:val="en-US"/>
              </w:rPr>
              <w:footnoteReference w:id="9"/>
            </w:r>
          </w:p>
        </w:tc>
        <w:tc>
          <w:tcPr>
            <w:tcW w:w="1405" w:type="dxa"/>
            <w:tcBorders>
              <w:top w:val="nil"/>
              <w:left w:val="nil"/>
              <w:bottom w:val="nil"/>
              <w:right w:val="single" w:sz="4" w:space="0" w:color="auto"/>
            </w:tcBorders>
            <w:shd w:val="clear" w:color="000000" w:fill="31869B"/>
            <w:noWrap/>
            <w:vAlign w:val="center"/>
            <w:hideMark/>
          </w:tcPr>
          <w:p w14:paraId="4840C5ED" w14:textId="5A7DF943" w:rsidR="00C6599A" w:rsidRPr="005B49B9" w:rsidRDefault="005326C9" w:rsidP="00C6599A">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denied</w:t>
            </w:r>
            <w:proofErr w:type="gramEnd"/>
            <w:r w:rsidRPr="005B49B9">
              <w:rPr>
                <w:rStyle w:val="FootnoteReference"/>
                <w:rFonts w:ascii="Arial" w:eastAsia="Times New Roman" w:hAnsi="Arial" w:cs="Arial"/>
                <w:color w:val="F2F2F2"/>
                <w:sz w:val="22"/>
                <w:szCs w:val="22"/>
                <w:lang w:val="en-US"/>
              </w:rPr>
              <w:footnoteReference w:id="10"/>
            </w:r>
          </w:p>
        </w:tc>
        <w:tc>
          <w:tcPr>
            <w:tcW w:w="1458" w:type="dxa"/>
            <w:tcBorders>
              <w:top w:val="nil"/>
              <w:left w:val="nil"/>
              <w:bottom w:val="nil"/>
              <w:right w:val="single" w:sz="4" w:space="0" w:color="auto"/>
            </w:tcBorders>
            <w:shd w:val="clear" w:color="000000" w:fill="31869B"/>
            <w:noWrap/>
            <w:vAlign w:val="center"/>
            <w:hideMark/>
          </w:tcPr>
          <w:p w14:paraId="77F5FE4B" w14:textId="42B3A714" w:rsidR="00C6599A" w:rsidRPr="005B49B9" w:rsidRDefault="005326C9" w:rsidP="00C6599A">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returned</w:t>
            </w:r>
            <w:proofErr w:type="gramEnd"/>
            <w:r w:rsidR="00B365F6" w:rsidRPr="005B49B9">
              <w:rPr>
                <w:rStyle w:val="FootnoteReference"/>
                <w:rFonts w:ascii="Arial" w:eastAsia="Times New Roman" w:hAnsi="Arial" w:cs="Arial"/>
                <w:color w:val="F2F2F2"/>
                <w:sz w:val="22"/>
                <w:szCs w:val="22"/>
                <w:lang w:val="en-US"/>
              </w:rPr>
              <w:footnoteReference w:id="11"/>
            </w: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33298459" w14:textId="77777777" w:rsidR="00C6599A" w:rsidRPr="005B49B9" w:rsidRDefault="00C6599A" w:rsidP="00C6599A">
            <w:pPr>
              <w:rPr>
                <w:rFonts w:ascii="Arial" w:eastAsia="Times New Roman" w:hAnsi="Arial" w:cs="Arial"/>
                <w:color w:val="F2F2F2"/>
                <w:sz w:val="22"/>
                <w:szCs w:val="22"/>
                <w:lang w:val="en-US"/>
              </w:rPr>
            </w:pPr>
          </w:p>
        </w:tc>
      </w:tr>
      <w:tr w:rsidR="00C6599A" w:rsidRPr="005B49B9" w14:paraId="6D4B4754" w14:textId="77777777" w:rsidTr="00BA51E8">
        <w:trPr>
          <w:trHeight w:val="360"/>
        </w:trPr>
        <w:tc>
          <w:tcPr>
            <w:tcW w:w="1349" w:type="dxa"/>
            <w:tcBorders>
              <w:top w:val="single" w:sz="4" w:space="0" w:color="auto"/>
              <w:left w:val="single" w:sz="4" w:space="0" w:color="auto"/>
              <w:bottom w:val="nil"/>
              <w:right w:val="single" w:sz="4" w:space="0" w:color="auto"/>
            </w:tcBorders>
            <w:shd w:val="clear" w:color="auto" w:fill="auto"/>
            <w:noWrap/>
            <w:vAlign w:val="bottom"/>
            <w:hideMark/>
          </w:tcPr>
          <w:p w14:paraId="24957FBA"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2010</w:t>
            </w:r>
          </w:p>
        </w:tc>
        <w:tc>
          <w:tcPr>
            <w:tcW w:w="1403" w:type="dxa"/>
            <w:tcBorders>
              <w:top w:val="single" w:sz="4" w:space="0" w:color="auto"/>
              <w:left w:val="nil"/>
              <w:bottom w:val="nil"/>
              <w:right w:val="nil"/>
            </w:tcBorders>
            <w:shd w:val="clear" w:color="auto" w:fill="auto"/>
            <w:noWrap/>
            <w:vAlign w:val="bottom"/>
            <w:hideMark/>
          </w:tcPr>
          <w:p w14:paraId="1651D12C"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21</w:t>
            </w:r>
          </w:p>
        </w:tc>
        <w:tc>
          <w:tcPr>
            <w:tcW w:w="1106" w:type="dxa"/>
            <w:tcBorders>
              <w:top w:val="single" w:sz="4" w:space="0" w:color="auto"/>
              <w:left w:val="nil"/>
              <w:bottom w:val="nil"/>
              <w:right w:val="nil"/>
            </w:tcBorders>
            <w:shd w:val="clear" w:color="auto" w:fill="auto"/>
            <w:noWrap/>
            <w:vAlign w:val="bottom"/>
            <w:hideMark/>
          </w:tcPr>
          <w:p w14:paraId="5BD24D37" w14:textId="77777777" w:rsidR="00C6599A" w:rsidRPr="005B49B9" w:rsidRDefault="00C6599A" w:rsidP="00C6599A">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586" w:type="dxa"/>
            <w:tcBorders>
              <w:top w:val="single" w:sz="4" w:space="0" w:color="auto"/>
              <w:left w:val="nil"/>
              <w:bottom w:val="nil"/>
              <w:right w:val="nil"/>
            </w:tcBorders>
            <w:shd w:val="clear" w:color="auto" w:fill="auto"/>
            <w:noWrap/>
            <w:vAlign w:val="bottom"/>
            <w:hideMark/>
          </w:tcPr>
          <w:p w14:paraId="2DE914B8" w14:textId="77777777" w:rsidR="00C6599A" w:rsidRPr="005B49B9" w:rsidRDefault="00C6599A" w:rsidP="00C6599A">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05" w:type="dxa"/>
            <w:tcBorders>
              <w:top w:val="single" w:sz="4" w:space="0" w:color="auto"/>
              <w:left w:val="nil"/>
              <w:bottom w:val="nil"/>
              <w:right w:val="nil"/>
            </w:tcBorders>
            <w:shd w:val="clear" w:color="auto" w:fill="auto"/>
            <w:noWrap/>
            <w:vAlign w:val="bottom"/>
            <w:hideMark/>
          </w:tcPr>
          <w:p w14:paraId="61CC933C" w14:textId="77777777" w:rsidR="00C6599A" w:rsidRPr="005B49B9" w:rsidRDefault="00C6599A" w:rsidP="00C6599A">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58" w:type="dxa"/>
            <w:tcBorders>
              <w:top w:val="single" w:sz="4" w:space="0" w:color="auto"/>
              <w:left w:val="nil"/>
              <w:bottom w:val="nil"/>
              <w:right w:val="nil"/>
            </w:tcBorders>
            <w:shd w:val="clear" w:color="auto" w:fill="auto"/>
            <w:noWrap/>
            <w:vAlign w:val="bottom"/>
            <w:hideMark/>
          </w:tcPr>
          <w:p w14:paraId="00394E13" w14:textId="77777777" w:rsidR="00C6599A" w:rsidRPr="005B49B9" w:rsidRDefault="00C6599A" w:rsidP="00C6599A">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95" w:type="dxa"/>
            <w:tcBorders>
              <w:top w:val="single" w:sz="4" w:space="0" w:color="auto"/>
              <w:left w:val="nil"/>
              <w:bottom w:val="nil"/>
              <w:right w:val="single" w:sz="4" w:space="0" w:color="auto"/>
            </w:tcBorders>
            <w:shd w:val="clear" w:color="auto" w:fill="auto"/>
            <w:noWrap/>
            <w:vAlign w:val="bottom"/>
            <w:hideMark/>
          </w:tcPr>
          <w:p w14:paraId="3174EA3F" w14:textId="77777777" w:rsidR="00C6599A" w:rsidRPr="005B49B9" w:rsidRDefault="00C6599A" w:rsidP="00C6599A">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r>
      <w:tr w:rsidR="00C6599A" w:rsidRPr="005B49B9" w14:paraId="15FDC869" w14:textId="77777777" w:rsidTr="00BA51E8">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7BFC64F0"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2011</w:t>
            </w:r>
          </w:p>
        </w:tc>
        <w:tc>
          <w:tcPr>
            <w:tcW w:w="1403" w:type="dxa"/>
            <w:tcBorders>
              <w:top w:val="nil"/>
              <w:left w:val="nil"/>
              <w:bottom w:val="nil"/>
              <w:right w:val="nil"/>
            </w:tcBorders>
            <w:shd w:val="clear" w:color="auto" w:fill="auto"/>
            <w:noWrap/>
            <w:vAlign w:val="bottom"/>
            <w:hideMark/>
          </w:tcPr>
          <w:p w14:paraId="1CB93C1B"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37</w:t>
            </w:r>
          </w:p>
        </w:tc>
        <w:tc>
          <w:tcPr>
            <w:tcW w:w="1106" w:type="dxa"/>
            <w:tcBorders>
              <w:top w:val="nil"/>
              <w:left w:val="nil"/>
              <w:bottom w:val="nil"/>
              <w:right w:val="nil"/>
            </w:tcBorders>
            <w:shd w:val="clear" w:color="auto" w:fill="auto"/>
            <w:noWrap/>
            <w:vAlign w:val="bottom"/>
            <w:hideMark/>
          </w:tcPr>
          <w:p w14:paraId="0943A776"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21</w:t>
            </w:r>
          </w:p>
        </w:tc>
        <w:tc>
          <w:tcPr>
            <w:tcW w:w="1586" w:type="dxa"/>
            <w:tcBorders>
              <w:top w:val="nil"/>
              <w:left w:val="nil"/>
              <w:bottom w:val="nil"/>
              <w:right w:val="nil"/>
            </w:tcBorders>
            <w:shd w:val="clear" w:color="auto" w:fill="auto"/>
            <w:noWrap/>
            <w:vAlign w:val="bottom"/>
            <w:hideMark/>
          </w:tcPr>
          <w:p w14:paraId="037C1092"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4</w:t>
            </w:r>
          </w:p>
        </w:tc>
        <w:tc>
          <w:tcPr>
            <w:tcW w:w="1405" w:type="dxa"/>
            <w:tcBorders>
              <w:top w:val="nil"/>
              <w:left w:val="nil"/>
              <w:bottom w:val="nil"/>
              <w:right w:val="nil"/>
            </w:tcBorders>
            <w:shd w:val="clear" w:color="auto" w:fill="auto"/>
            <w:noWrap/>
            <w:vAlign w:val="center"/>
            <w:hideMark/>
          </w:tcPr>
          <w:p w14:paraId="49945514" w14:textId="77777777" w:rsidR="00C6599A" w:rsidRPr="005B49B9" w:rsidRDefault="00C6599A" w:rsidP="00C6599A">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58" w:type="dxa"/>
            <w:tcBorders>
              <w:top w:val="nil"/>
              <w:left w:val="nil"/>
              <w:bottom w:val="nil"/>
              <w:right w:val="nil"/>
            </w:tcBorders>
            <w:shd w:val="clear" w:color="auto" w:fill="auto"/>
            <w:noWrap/>
            <w:vAlign w:val="bottom"/>
            <w:hideMark/>
          </w:tcPr>
          <w:p w14:paraId="5A90C844"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11</w:t>
            </w:r>
          </w:p>
        </w:tc>
        <w:tc>
          <w:tcPr>
            <w:tcW w:w="1495" w:type="dxa"/>
            <w:tcBorders>
              <w:top w:val="nil"/>
              <w:left w:val="nil"/>
              <w:bottom w:val="nil"/>
              <w:right w:val="single" w:sz="4" w:space="0" w:color="auto"/>
            </w:tcBorders>
            <w:shd w:val="clear" w:color="auto" w:fill="auto"/>
            <w:noWrap/>
            <w:vAlign w:val="bottom"/>
            <w:hideMark/>
          </w:tcPr>
          <w:p w14:paraId="7F5FB709"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20</w:t>
            </w:r>
          </w:p>
        </w:tc>
      </w:tr>
      <w:tr w:rsidR="00C6599A" w:rsidRPr="005B49B9" w14:paraId="36B750EB" w14:textId="77777777" w:rsidTr="00BA51E8">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43FE2C9A"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2012</w:t>
            </w:r>
          </w:p>
        </w:tc>
        <w:tc>
          <w:tcPr>
            <w:tcW w:w="1403" w:type="dxa"/>
            <w:tcBorders>
              <w:top w:val="nil"/>
              <w:left w:val="nil"/>
              <w:bottom w:val="nil"/>
              <w:right w:val="nil"/>
            </w:tcBorders>
            <w:shd w:val="clear" w:color="auto" w:fill="auto"/>
            <w:noWrap/>
            <w:vAlign w:val="bottom"/>
            <w:hideMark/>
          </w:tcPr>
          <w:p w14:paraId="0901DC3A"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35</w:t>
            </w:r>
          </w:p>
        </w:tc>
        <w:tc>
          <w:tcPr>
            <w:tcW w:w="1106" w:type="dxa"/>
            <w:tcBorders>
              <w:top w:val="nil"/>
              <w:left w:val="nil"/>
              <w:bottom w:val="nil"/>
              <w:right w:val="nil"/>
            </w:tcBorders>
            <w:shd w:val="clear" w:color="auto" w:fill="auto"/>
            <w:noWrap/>
            <w:vAlign w:val="bottom"/>
            <w:hideMark/>
          </w:tcPr>
          <w:p w14:paraId="276A4D1A"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20</w:t>
            </w:r>
          </w:p>
        </w:tc>
        <w:tc>
          <w:tcPr>
            <w:tcW w:w="1586" w:type="dxa"/>
            <w:tcBorders>
              <w:top w:val="nil"/>
              <w:left w:val="nil"/>
              <w:bottom w:val="nil"/>
              <w:right w:val="nil"/>
            </w:tcBorders>
            <w:shd w:val="clear" w:color="auto" w:fill="auto"/>
            <w:noWrap/>
            <w:vAlign w:val="bottom"/>
            <w:hideMark/>
          </w:tcPr>
          <w:p w14:paraId="341CA27B"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6</w:t>
            </w:r>
          </w:p>
        </w:tc>
        <w:tc>
          <w:tcPr>
            <w:tcW w:w="1405" w:type="dxa"/>
            <w:tcBorders>
              <w:top w:val="nil"/>
              <w:left w:val="nil"/>
              <w:bottom w:val="nil"/>
              <w:right w:val="nil"/>
            </w:tcBorders>
            <w:shd w:val="clear" w:color="auto" w:fill="auto"/>
            <w:noWrap/>
            <w:vAlign w:val="bottom"/>
            <w:hideMark/>
          </w:tcPr>
          <w:p w14:paraId="49921FD3"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458" w:type="dxa"/>
            <w:tcBorders>
              <w:top w:val="nil"/>
              <w:left w:val="nil"/>
              <w:bottom w:val="nil"/>
              <w:right w:val="nil"/>
            </w:tcBorders>
            <w:shd w:val="clear" w:color="auto" w:fill="auto"/>
            <w:noWrap/>
            <w:vAlign w:val="bottom"/>
            <w:hideMark/>
          </w:tcPr>
          <w:p w14:paraId="05DBC503"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10</w:t>
            </w:r>
          </w:p>
        </w:tc>
        <w:tc>
          <w:tcPr>
            <w:tcW w:w="1495" w:type="dxa"/>
            <w:tcBorders>
              <w:top w:val="nil"/>
              <w:left w:val="nil"/>
              <w:bottom w:val="nil"/>
              <w:right w:val="single" w:sz="4" w:space="0" w:color="auto"/>
            </w:tcBorders>
            <w:shd w:val="clear" w:color="auto" w:fill="auto"/>
            <w:noWrap/>
            <w:vAlign w:val="bottom"/>
            <w:hideMark/>
          </w:tcPr>
          <w:p w14:paraId="5B21B205"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33</w:t>
            </w:r>
          </w:p>
        </w:tc>
      </w:tr>
      <w:tr w:rsidR="00C6599A" w:rsidRPr="005B49B9" w14:paraId="2E04F34C" w14:textId="77777777" w:rsidTr="00BA51E8">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31A81ED0"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2013</w:t>
            </w:r>
          </w:p>
        </w:tc>
        <w:tc>
          <w:tcPr>
            <w:tcW w:w="1403" w:type="dxa"/>
            <w:tcBorders>
              <w:top w:val="nil"/>
              <w:left w:val="nil"/>
              <w:bottom w:val="nil"/>
              <w:right w:val="nil"/>
            </w:tcBorders>
            <w:shd w:val="clear" w:color="auto" w:fill="auto"/>
            <w:noWrap/>
            <w:vAlign w:val="bottom"/>
            <w:hideMark/>
          </w:tcPr>
          <w:p w14:paraId="19B2EA6E"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22</w:t>
            </w:r>
          </w:p>
        </w:tc>
        <w:tc>
          <w:tcPr>
            <w:tcW w:w="1106" w:type="dxa"/>
            <w:tcBorders>
              <w:top w:val="nil"/>
              <w:left w:val="nil"/>
              <w:bottom w:val="nil"/>
              <w:right w:val="nil"/>
            </w:tcBorders>
            <w:shd w:val="clear" w:color="auto" w:fill="auto"/>
            <w:noWrap/>
            <w:vAlign w:val="bottom"/>
            <w:hideMark/>
          </w:tcPr>
          <w:p w14:paraId="7FD841C4"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26</w:t>
            </w:r>
          </w:p>
        </w:tc>
        <w:tc>
          <w:tcPr>
            <w:tcW w:w="1586" w:type="dxa"/>
            <w:tcBorders>
              <w:top w:val="nil"/>
              <w:left w:val="nil"/>
              <w:bottom w:val="nil"/>
              <w:right w:val="nil"/>
            </w:tcBorders>
            <w:shd w:val="clear" w:color="auto" w:fill="auto"/>
            <w:noWrap/>
            <w:vAlign w:val="bottom"/>
            <w:hideMark/>
          </w:tcPr>
          <w:p w14:paraId="26600B2B"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5</w:t>
            </w:r>
          </w:p>
        </w:tc>
        <w:tc>
          <w:tcPr>
            <w:tcW w:w="1405" w:type="dxa"/>
            <w:tcBorders>
              <w:top w:val="nil"/>
              <w:left w:val="nil"/>
              <w:bottom w:val="nil"/>
              <w:right w:val="nil"/>
            </w:tcBorders>
            <w:shd w:val="clear" w:color="auto" w:fill="auto"/>
            <w:noWrap/>
            <w:vAlign w:val="bottom"/>
            <w:hideMark/>
          </w:tcPr>
          <w:p w14:paraId="4D9939FA"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6</w:t>
            </w:r>
          </w:p>
        </w:tc>
        <w:tc>
          <w:tcPr>
            <w:tcW w:w="1458" w:type="dxa"/>
            <w:tcBorders>
              <w:top w:val="nil"/>
              <w:left w:val="nil"/>
              <w:bottom w:val="nil"/>
              <w:right w:val="nil"/>
            </w:tcBorders>
            <w:shd w:val="clear" w:color="auto" w:fill="auto"/>
            <w:noWrap/>
            <w:vAlign w:val="bottom"/>
            <w:hideMark/>
          </w:tcPr>
          <w:p w14:paraId="0A51FEFF"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5</w:t>
            </w:r>
          </w:p>
        </w:tc>
        <w:tc>
          <w:tcPr>
            <w:tcW w:w="1495" w:type="dxa"/>
            <w:tcBorders>
              <w:top w:val="nil"/>
              <w:left w:val="nil"/>
              <w:bottom w:val="nil"/>
              <w:right w:val="single" w:sz="4" w:space="0" w:color="auto"/>
            </w:tcBorders>
            <w:shd w:val="clear" w:color="auto" w:fill="auto"/>
            <w:noWrap/>
            <w:vAlign w:val="bottom"/>
            <w:hideMark/>
          </w:tcPr>
          <w:p w14:paraId="06B02195"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29</w:t>
            </w:r>
          </w:p>
        </w:tc>
      </w:tr>
      <w:tr w:rsidR="00C6599A" w:rsidRPr="005B49B9" w14:paraId="7E25169A" w14:textId="77777777" w:rsidTr="00BA51E8">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0EF67DDC"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2014</w:t>
            </w:r>
          </w:p>
        </w:tc>
        <w:tc>
          <w:tcPr>
            <w:tcW w:w="1403" w:type="dxa"/>
            <w:tcBorders>
              <w:top w:val="nil"/>
              <w:left w:val="nil"/>
              <w:bottom w:val="nil"/>
              <w:right w:val="nil"/>
            </w:tcBorders>
            <w:shd w:val="clear" w:color="auto" w:fill="auto"/>
            <w:noWrap/>
            <w:vAlign w:val="bottom"/>
            <w:hideMark/>
          </w:tcPr>
          <w:p w14:paraId="21470CD5"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41</w:t>
            </w:r>
          </w:p>
        </w:tc>
        <w:tc>
          <w:tcPr>
            <w:tcW w:w="1106" w:type="dxa"/>
            <w:tcBorders>
              <w:top w:val="nil"/>
              <w:left w:val="nil"/>
              <w:bottom w:val="nil"/>
              <w:right w:val="nil"/>
            </w:tcBorders>
            <w:shd w:val="clear" w:color="auto" w:fill="auto"/>
            <w:noWrap/>
            <w:vAlign w:val="bottom"/>
            <w:hideMark/>
          </w:tcPr>
          <w:p w14:paraId="3DC40BCA"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19</w:t>
            </w:r>
          </w:p>
        </w:tc>
        <w:tc>
          <w:tcPr>
            <w:tcW w:w="1586" w:type="dxa"/>
            <w:tcBorders>
              <w:top w:val="nil"/>
              <w:left w:val="nil"/>
              <w:bottom w:val="nil"/>
              <w:right w:val="nil"/>
            </w:tcBorders>
            <w:shd w:val="clear" w:color="auto" w:fill="auto"/>
            <w:noWrap/>
            <w:vAlign w:val="bottom"/>
            <w:hideMark/>
          </w:tcPr>
          <w:p w14:paraId="25051801"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9</w:t>
            </w:r>
          </w:p>
        </w:tc>
        <w:tc>
          <w:tcPr>
            <w:tcW w:w="1405" w:type="dxa"/>
            <w:tcBorders>
              <w:top w:val="nil"/>
              <w:left w:val="nil"/>
              <w:bottom w:val="nil"/>
              <w:right w:val="nil"/>
            </w:tcBorders>
            <w:shd w:val="clear" w:color="auto" w:fill="auto"/>
            <w:noWrap/>
            <w:vAlign w:val="bottom"/>
            <w:hideMark/>
          </w:tcPr>
          <w:p w14:paraId="4F76AD1D"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c>
          <w:tcPr>
            <w:tcW w:w="1458" w:type="dxa"/>
            <w:tcBorders>
              <w:top w:val="nil"/>
              <w:left w:val="nil"/>
              <w:bottom w:val="nil"/>
              <w:right w:val="nil"/>
            </w:tcBorders>
            <w:shd w:val="clear" w:color="auto" w:fill="auto"/>
            <w:noWrap/>
            <w:vAlign w:val="bottom"/>
            <w:hideMark/>
          </w:tcPr>
          <w:p w14:paraId="16DC07B5"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7</w:t>
            </w:r>
          </w:p>
        </w:tc>
        <w:tc>
          <w:tcPr>
            <w:tcW w:w="1495" w:type="dxa"/>
            <w:tcBorders>
              <w:top w:val="nil"/>
              <w:left w:val="nil"/>
              <w:bottom w:val="nil"/>
              <w:right w:val="single" w:sz="4" w:space="0" w:color="auto"/>
            </w:tcBorders>
            <w:shd w:val="clear" w:color="auto" w:fill="auto"/>
            <w:noWrap/>
            <w:vAlign w:val="bottom"/>
            <w:hideMark/>
          </w:tcPr>
          <w:p w14:paraId="122059E3"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51</w:t>
            </w:r>
          </w:p>
        </w:tc>
      </w:tr>
      <w:tr w:rsidR="00C6599A" w:rsidRPr="005B49B9" w14:paraId="2D9D78DD" w14:textId="77777777" w:rsidTr="00BA51E8">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6FE11A89"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2015</w:t>
            </w:r>
          </w:p>
        </w:tc>
        <w:tc>
          <w:tcPr>
            <w:tcW w:w="1403" w:type="dxa"/>
            <w:tcBorders>
              <w:top w:val="nil"/>
              <w:left w:val="nil"/>
              <w:bottom w:val="nil"/>
              <w:right w:val="nil"/>
            </w:tcBorders>
            <w:shd w:val="clear" w:color="auto" w:fill="auto"/>
            <w:noWrap/>
            <w:vAlign w:val="bottom"/>
            <w:hideMark/>
          </w:tcPr>
          <w:p w14:paraId="29C3FF12"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32</w:t>
            </w:r>
          </w:p>
        </w:tc>
        <w:tc>
          <w:tcPr>
            <w:tcW w:w="1106" w:type="dxa"/>
            <w:tcBorders>
              <w:top w:val="nil"/>
              <w:left w:val="nil"/>
              <w:bottom w:val="nil"/>
              <w:right w:val="nil"/>
            </w:tcBorders>
            <w:shd w:val="clear" w:color="auto" w:fill="auto"/>
            <w:noWrap/>
            <w:vAlign w:val="bottom"/>
            <w:hideMark/>
          </w:tcPr>
          <w:p w14:paraId="5F1D0E68"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31</w:t>
            </w:r>
          </w:p>
        </w:tc>
        <w:tc>
          <w:tcPr>
            <w:tcW w:w="1586" w:type="dxa"/>
            <w:tcBorders>
              <w:top w:val="nil"/>
              <w:left w:val="nil"/>
              <w:bottom w:val="nil"/>
              <w:right w:val="nil"/>
            </w:tcBorders>
            <w:shd w:val="clear" w:color="auto" w:fill="auto"/>
            <w:noWrap/>
            <w:vAlign w:val="bottom"/>
            <w:hideMark/>
          </w:tcPr>
          <w:p w14:paraId="78BEA6CF"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9</w:t>
            </w:r>
          </w:p>
        </w:tc>
        <w:tc>
          <w:tcPr>
            <w:tcW w:w="1405" w:type="dxa"/>
            <w:tcBorders>
              <w:top w:val="nil"/>
              <w:left w:val="nil"/>
              <w:bottom w:val="nil"/>
              <w:right w:val="nil"/>
            </w:tcBorders>
            <w:shd w:val="clear" w:color="auto" w:fill="auto"/>
            <w:noWrap/>
            <w:vAlign w:val="bottom"/>
            <w:hideMark/>
          </w:tcPr>
          <w:p w14:paraId="45125D24"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c>
          <w:tcPr>
            <w:tcW w:w="1458" w:type="dxa"/>
            <w:tcBorders>
              <w:top w:val="nil"/>
              <w:left w:val="nil"/>
              <w:bottom w:val="nil"/>
              <w:right w:val="nil"/>
            </w:tcBorders>
            <w:shd w:val="clear" w:color="auto" w:fill="auto"/>
            <w:noWrap/>
            <w:vAlign w:val="bottom"/>
            <w:hideMark/>
          </w:tcPr>
          <w:p w14:paraId="6C8C175A"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7</w:t>
            </w:r>
          </w:p>
        </w:tc>
        <w:tc>
          <w:tcPr>
            <w:tcW w:w="1495" w:type="dxa"/>
            <w:tcBorders>
              <w:top w:val="nil"/>
              <w:left w:val="nil"/>
              <w:bottom w:val="nil"/>
              <w:right w:val="single" w:sz="4" w:space="0" w:color="auto"/>
            </w:tcBorders>
            <w:shd w:val="clear" w:color="auto" w:fill="auto"/>
            <w:noWrap/>
            <w:vAlign w:val="bottom"/>
            <w:hideMark/>
          </w:tcPr>
          <w:p w14:paraId="5568B967"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52</w:t>
            </w:r>
          </w:p>
        </w:tc>
      </w:tr>
      <w:tr w:rsidR="00C6599A" w:rsidRPr="005B49B9" w14:paraId="7B05D473" w14:textId="77777777" w:rsidTr="00BA51E8">
        <w:trPr>
          <w:trHeight w:val="360"/>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14:paraId="0D3284F7" w14:textId="77777777" w:rsidR="00C6599A" w:rsidRPr="005B49B9" w:rsidRDefault="00C6599A" w:rsidP="00C6599A">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I p. 2016</w:t>
            </w:r>
          </w:p>
        </w:tc>
        <w:tc>
          <w:tcPr>
            <w:tcW w:w="1403" w:type="dxa"/>
            <w:tcBorders>
              <w:top w:val="nil"/>
              <w:left w:val="nil"/>
              <w:bottom w:val="single" w:sz="4" w:space="0" w:color="auto"/>
              <w:right w:val="nil"/>
            </w:tcBorders>
            <w:shd w:val="clear" w:color="auto" w:fill="auto"/>
            <w:noWrap/>
            <w:vAlign w:val="bottom"/>
            <w:hideMark/>
          </w:tcPr>
          <w:p w14:paraId="6623A090"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15</w:t>
            </w:r>
          </w:p>
        </w:tc>
        <w:tc>
          <w:tcPr>
            <w:tcW w:w="1106" w:type="dxa"/>
            <w:tcBorders>
              <w:top w:val="nil"/>
              <w:left w:val="nil"/>
              <w:bottom w:val="single" w:sz="4" w:space="0" w:color="auto"/>
              <w:right w:val="nil"/>
            </w:tcBorders>
            <w:shd w:val="clear" w:color="auto" w:fill="auto"/>
            <w:noWrap/>
            <w:vAlign w:val="bottom"/>
            <w:hideMark/>
          </w:tcPr>
          <w:p w14:paraId="7FD3B449"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12</w:t>
            </w:r>
          </w:p>
        </w:tc>
        <w:tc>
          <w:tcPr>
            <w:tcW w:w="1586" w:type="dxa"/>
            <w:tcBorders>
              <w:top w:val="nil"/>
              <w:left w:val="nil"/>
              <w:bottom w:val="single" w:sz="4" w:space="0" w:color="auto"/>
              <w:right w:val="nil"/>
            </w:tcBorders>
            <w:shd w:val="clear" w:color="auto" w:fill="auto"/>
            <w:noWrap/>
            <w:vAlign w:val="bottom"/>
            <w:hideMark/>
          </w:tcPr>
          <w:p w14:paraId="77B85E03"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3</w:t>
            </w:r>
          </w:p>
        </w:tc>
        <w:tc>
          <w:tcPr>
            <w:tcW w:w="1405" w:type="dxa"/>
            <w:tcBorders>
              <w:top w:val="nil"/>
              <w:left w:val="nil"/>
              <w:bottom w:val="single" w:sz="4" w:space="0" w:color="auto"/>
              <w:right w:val="nil"/>
            </w:tcBorders>
            <w:shd w:val="clear" w:color="auto" w:fill="auto"/>
            <w:noWrap/>
            <w:vAlign w:val="bottom"/>
            <w:hideMark/>
          </w:tcPr>
          <w:p w14:paraId="76FB7EEA"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458" w:type="dxa"/>
            <w:tcBorders>
              <w:top w:val="nil"/>
              <w:left w:val="nil"/>
              <w:bottom w:val="single" w:sz="4" w:space="0" w:color="auto"/>
              <w:right w:val="nil"/>
            </w:tcBorders>
            <w:shd w:val="clear" w:color="auto" w:fill="auto"/>
            <w:noWrap/>
            <w:vAlign w:val="bottom"/>
            <w:hideMark/>
          </w:tcPr>
          <w:p w14:paraId="2940D184"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5</w:t>
            </w:r>
          </w:p>
        </w:tc>
        <w:tc>
          <w:tcPr>
            <w:tcW w:w="1495" w:type="dxa"/>
            <w:tcBorders>
              <w:top w:val="nil"/>
              <w:left w:val="nil"/>
              <w:bottom w:val="single" w:sz="4" w:space="0" w:color="auto"/>
              <w:right w:val="single" w:sz="4" w:space="0" w:color="auto"/>
            </w:tcBorders>
            <w:shd w:val="clear" w:color="auto" w:fill="auto"/>
            <w:noWrap/>
            <w:vAlign w:val="bottom"/>
            <w:hideMark/>
          </w:tcPr>
          <w:p w14:paraId="36B28E32" w14:textId="77777777" w:rsidR="00C6599A" w:rsidRPr="005B49B9" w:rsidRDefault="00C6599A" w:rsidP="00C6599A">
            <w:pPr>
              <w:jc w:val="right"/>
              <w:rPr>
                <w:rFonts w:ascii="Arial" w:eastAsia="Times New Roman" w:hAnsi="Arial" w:cs="Arial"/>
                <w:sz w:val="22"/>
                <w:szCs w:val="22"/>
                <w:lang w:val="en-US"/>
              </w:rPr>
            </w:pPr>
            <w:r w:rsidRPr="005B49B9">
              <w:rPr>
                <w:rFonts w:ascii="Arial" w:eastAsia="Times New Roman" w:hAnsi="Arial" w:cs="Arial"/>
                <w:sz w:val="22"/>
                <w:szCs w:val="22"/>
                <w:lang w:val="en-US"/>
              </w:rPr>
              <w:t>57</w:t>
            </w:r>
          </w:p>
        </w:tc>
      </w:tr>
    </w:tbl>
    <w:p w14:paraId="27AB5CB7" w14:textId="77777777" w:rsidR="00170633" w:rsidRPr="005B49B9" w:rsidRDefault="00170633" w:rsidP="00B44787">
      <w:pPr>
        <w:spacing w:after="200" w:line="276" w:lineRule="auto"/>
        <w:jc w:val="both"/>
        <w:rPr>
          <w:rFonts w:asciiTheme="majorHAnsi" w:eastAsia="Calibri" w:hAnsiTheme="majorHAnsi" w:cs="Times New Roman"/>
          <w:sz w:val="22"/>
          <w:szCs w:val="22"/>
        </w:rPr>
      </w:pPr>
    </w:p>
    <w:p w14:paraId="0DEEF19D" w14:textId="1F06FB9B" w:rsidR="005326C9" w:rsidRPr="005B49B9" w:rsidRDefault="005326C9" w:rsidP="00B44787">
      <w:pPr>
        <w:spacing w:after="200" w:line="276" w:lineRule="auto"/>
        <w:jc w:val="both"/>
        <w:rPr>
          <w:rFonts w:asciiTheme="majorHAnsi" w:eastAsia="Calibri" w:hAnsiTheme="majorHAnsi" w:cs="Times New Roman"/>
          <w:sz w:val="22"/>
          <w:szCs w:val="22"/>
        </w:rPr>
      </w:pPr>
      <w:r w:rsidRPr="005B49B9">
        <w:rPr>
          <w:rFonts w:asciiTheme="majorHAnsi" w:eastAsia="Calibri" w:hAnsiTheme="majorHAnsi" w:cs="Times New Roman"/>
          <w:sz w:val="22"/>
          <w:szCs w:val="22"/>
        </w:rPr>
        <w:t xml:space="preserve">Further, </w:t>
      </w:r>
      <w:r w:rsidR="00364BCC" w:rsidRPr="005B49B9">
        <w:rPr>
          <w:rFonts w:asciiTheme="majorHAnsi" w:eastAsia="Calibri" w:hAnsiTheme="majorHAnsi" w:cs="Times New Roman"/>
          <w:sz w:val="22"/>
          <w:szCs w:val="22"/>
        </w:rPr>
        <w:t xml:space="preserve">in the same time period </w:t>
      </w:r>
      <w:r w:rsidRPr="005B49B9">
        <w:rPr>
          <w:rFonts w:asciiTheme="majorHAnsi" w:eastAsia="Calibri" w:hAnsiTheme="majorHAnsi" w:cs="Times New Roman"/>
          <w:sz w:val="22"/>
          <w:szCs w:val="22"/>
        </w:rPr>
        <w:t xml:space="preserve">a small number of commercial cases were also brought </w:t>
      </w:r>
      <w:r w:rsidR="00364BCC" w:rsidRPr="005B49B9">
        <w:rPr>
          <w:rFonts w:asciiTheme="majorHAnsi" w:eastAsia="Times New Roman" w:hAnsiTheme="majorHAnsi" w:cs="Arial"/>
          <w:bCs/>
          <w:sz w:val="22"/>
          <w:szCs w:val="22"/>
          <w:lang w:val="en-US"/>
        </w:rPr>
        <w:t>before district courts (first instance)</w:t>
      </w:r>
      <w:r w:rsidRPr="005B49B9">
        <w:rPr>
          <w:rFonts w:asciiTheme="majorHAnsi" w:eastAsia="Calibri" w:hAnsiTheme="majorHAnsi" w:cs="Times New Roman"/>
          <w:sz w:val="22"/>
          <w:szCs w:val="22"/>
        </w:rPr>
        <w:t>:</w:t>
      </w:r>
    </w:p>
    <w:tbl>
      <w:tblPr>
        <w:tblW w:w="9802" w:type="dxa"/>
        <w:tblInd w:w="93" w:type="dxa"/>
        <w:tblLook w:val="04A0" w:firstRow="1" w:lastRow="0" w:firstColumn="1" w:lastColumn="0" w:noHBand="0" w:noVBand="1"/>
      </w:tblPr>
      <w:tblGrid>
        <w:gridCol w:w="1349"/>
        <w:gridCol w:w="1403"/>
        <w:gridCol w:w="1195"/>
        <w:gridCol w:w="1586"/>
        <w:gridCol w:w="1405"/>
        <w:gridCol w:w="1458"/>
        <w:gridCol w:w="1495"/>
      </w:tblGrid>
      <w:tr w:rsidR="00FD2248" w:rsidRPr="005B49B9" w14:paraId="77E369A2" w14:textId="77777777" w:rsidTr="00364BCC">
        <w:trPr>
          <w:trHeight w:val="345"/>
        </w:trPr>
        <w:tc>
          <w:tcPr>
            <w:tcW w:w="1349" w:type="dxa"/>
            <w:vMerge w:val="restart"/>
            <w:tcBorders>
              <w:top w:val="single" w:sz="4" w:space="0" w:color="auto"/>
              <w:left w:val="single" w:sz="4" w:space="0" w:color="auto"/>
              <w:bottom w:val="single" w:sz="4" w:space="0" w:color="auto"/>
              <w:right w:val="single" w:sz="4" w:space="0" w:color="auto"/>
            </w:tcBorders>
            <w:shd w:val="clear" w:color="000000" w:fill="60497A"/>
            <w:noWrap/>
            <w:vAlign w:val="center"/>
            <w:hideMark/>
          </w:tcPr>
          <w:p w14:paraId="2F3FCDCD" w14:textId="1D0C3EDB" w:rsidR="00FD2248" w:rsidRPr="005B49B9" w:rsidRDefault="00793C17" w:rsidP="00FD2248">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Year</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60497A"/>
            <w:noWrap/>
            <w:vAlign w:val="center"/>
            <w:hideMark/>
          </w:tcPr>
          <w:p w14:paraId="3DC70D56" w14:textId="59084F4D" w:rsidR="00FD2248" w:rsidRPr="005B49B9" w:rsidRDefault="00793C17" w:rsidP="00FD2248">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Brought</w:t>
            </w:r>
          </w:p>
        </w:tc>
        <w:tc>
          <w:tcPr>
            <w:tcW w:w="5555" w:type="dxa"/>
            <w:gridSpan w:val="4"/>
            <w:tcBorders>
              <w:top w:val="single" w:sz="4" w:space="0" w:color="auto"/>
              <w:left w:val="nil"/>
              <w:bottom w:val="single" w:sz="4" w:space="0" w:color="auto"/>
              <w:right w:val="single" w:sz="4" w:space="0" w:color="auto"/>
            </w:tcBorders>
            <w:shd w:val="clear" w:color="000000" w:fill="60497A"/>
            <w:noWrap/>
            <w:vAlign w:val="center"/>
            <w:hideMark/>
          </w:tcPr>
          <w:p w14:paraId="18576A3F" w14:textId="6A2C9F10" w:rsidR="00FD2248" w:rsidRPr="005B49B9" w:rsidRDefault="00793C17" w:rsidP="00FD2248">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Processed</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60497A"/>
            <w:noWrap/>
            <w:vAlign w:val="center"/>
            <w:hideMark/>
          </w:tcPr>
          <w:p w14:paraId="6C93A9BB" w14:textId="4879D32B" w:rsidR="00FD2248" w:rsidRPr="005B49B9" w:rsidRDefault="00793C17" w:rsidP="00FD2248">
            <w:pPr>
              <w:jc w:val="center"/>
              <w:rPr>
                <w:rFonts w:ascii="Arial" w:eastAsia="Times New Roman" w:hAnsi="Arial" w:cs="Arial"/>
                <w:color w:val="F2F2F2"/>
                <w:sz w:val="22"/>
                <w:szCs w:val="22"/>
                <w:lang w:val="en-US"/>
              </w:rPr>
            </w:pPr>
            <w:r w:rsidRPr="005B49B9">
              <w:rPr>
                <w:rFonts w:ascii="Arial" w:eastAsia="Times New Roman" w:hAnsi="Arial" w:cs="Arial"/>
                <w:color w:val="F2F2F2"/>
                <w:sz w:val="22"/>
                <w:szCs w:val="22"/>
                <w:lang w:val="en-US"/>
              </w:rPr>
              <w:t>Remaining</w:t>
            </w:r>
          </w:p>
        </w:tc>
      </w:tr>
      <w:tr w:rsidR="00FD2248" w:rsidRPr="005B49B9" w14:paraId="66AEE5B8" w14:textId="77777777" w:rsidTr="00364BCC">
        <w:trPr>
          <w:trHeight w:val="315"/>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6A58720C" w14:textId="77777777" w:rsidR="00FD2248" w:rsidRPr="005B49B9" w:rsidRDefault="00FD2248" w:rsidP="00FD2248">
            <w:pPr>
              <w:rPr>
                <w:rFonts w:ascii="Arial" w:eastAsia="Times New Roman" w:hAnsi="Arial" w:cs="Arial"/>
                <w:color w:val="F2F2F2"/>
                <w:sz w:val="22"/>
                <w:szCs w:val="22"/>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E1C1C7C" w14:textId="77777777" w:rsidR="00FD2248" w:rsidRPr="005B49B9" w:rsidRDefault="00FD2248" w:rsidP="00FD2248">
            <w:pPr>
              <w:rPr>
                <w:rFonts w:ascii="Arial" w:eastAsia="Times New Roman" w:hAnsi="Arial" w:cs="Arial"/>
                <w:color w:val="F2F2F2"/>
                <w:sz w:val="22"/>
                <w:szCs w:val="22"/>
                <w:lang w:val="en-US"/>
              </w:rPr>
            </w:pPr>
          </w:p>
        </w:tc>
        <w:tc>
          <w:tcPr>
            <w:tcW w:w="1106" w:type="dxa"/>
            <w:vMerge w:val="restart"/>
            <w:tcBorders>
              <w:top w:val="nil"/>
              <w:left w:val="single" w:sz="4" w:space="0" w:color="auto"/>
              <w:bottom w:val="single" w:sz="4" w:space="0" w:color="auto"/>
              <w:right w:val="single" w:sz="4" w:space="0" w:color="auto"/>
            </w:tcBorders>
            <w:shd w:val="clear" w:color="000000" w:fill="60497A"/>
            <w:noWrap/>
            <w:vAlign w:val="center"/>
            <w:hideMark/>
          </w:tcPr>
          <w:p w14:paraId="777DB0FD" w14:textId="0BC4048D" w:rsidR="00FD2248" w:rsidRPr="005B49B9" w:rsidRDefault="00793C17" w:rsidP="00FD2248">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altogether</w:t>
            </w:r>
            <w:proofErr w:type="gramEnd"/>
          </w:p>
        </w:tc>
        <w:tc>
          <w:tcPr>
            <w:tcW w:w="4449" w:type="dxa"/>
            <w:gridSpan w:val="3"/>
            <w:tcBorders>
              <w:top w:val="single" w:sz="4" w:space="0" w:color="auto"/>
              <w:left w:val="nil"/>
              <w:bottom w:val="single" w:sz="4" w:space="0" w:color="auto"/>
              <w:right w:val="single" w:sz="4" w:space="0" w:color="auto"/>
            </w:tcBorders>
            <w:shd w:val="clear" w:color="000000" w:fill="60497A"/>
            <w:noWrap/>
            <w:vAlign w:val="center"/>
            <w:hideMark/>
          </w:tcPr>
          <w:p w14:paraId="2BFBC1FD" w14:textId="23DA024E" w:rsidR="00FD2248" w:rsidRPr="005B49B9" w:rsidRDefault="00793C17" w:rsidP="00FD2248">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including</w:t>
            </w:r>
            <w:proofErr w:type="gramEnd"/>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744DC5EC" w14:textId="77777777" w:rsidR="00FD2248" w:rsidRPr="005B49B9" w:rsidRDefault="00FD2248" w:rsidP="00FD2248">
            <w:pPr>
              <w:rPr>
                <w:rFonts w:ascii="Arial" w:eastAsia="Times New Roman" w:hAnsi="Arial" w:cs="Arial"/>
                <w:color w:val="F2F2F2"/>
                <w:sz w:val="22"/>
                <w:szCs w:val="22"/>
                <w:lang w:val="en-US"/>
              </w:rPr>
            </w:pPr>
          </w:p>
        </w:tc>
      </w:tr>
      <w:tr w:rsidR="00FD2248" w:rsidRPr="005B49B9" w14:paraId="76C069FD" w14:textId="77777777" w:rsidTr="00364BCC">
        <w:trPr>
          <w:trHeight w:val="420"/>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5EAFAEC4" w14:textId="77777777" w:rsidR="00FD2248" w:rsidRPr="005B49B9" w:rsidRDefault="00FD2248" w:rsidP="00FD2248">
            <w:pPr>
              <w:rPr>
                <w:rFonts w:ascii="Arial" w:eastAsia="Times New Roman" w:hAnsi="Arial" w:cs="Arial"/>
                <w:color w:val="F2F2F2"/>
                <w:sz w:val="22"/>
                <w:szCs w:val="22"/>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4D076C3" w14:textId="77777777" w:rsidR="00FD2248" w:rsidRPr="005B49B9" w:rsidRDefault="00FD2248" w:rsidP="00FD2248">
            <w:pPr>
              <w:rPr>
                <w:rFonts w:ascii="Arial" w:eastAsia="Times New Roman" w:hAnsi="Arial" w:cs="Arial"/>
                <w:color w:val="F2F2F2"/>
                <w:sz w:val="22"/>
                <w:szCs w:val="22"/>
                <w:lang w:val="en-US"/>
              </w:rPr>
            </w:pPr>
          </w:p>
        </w:tc>
        <w:tc>
          <w:tcPr>
            <w:tcW w:w="1106" w:type="dxa"/>
            <w:vMerge/>
            <w:tcBorders>
              <w:top w:val="nil"/>
              <w:left w:val="single" w:sz="4" w:space="0" w:color="auto"/>
              <w:bottom w:val="single" w:sz="4" w:space="0" w:color="auto"/>
              <w:right w:val="single" w:sz="4" w:space="0" w:color="auto"/>
            </w:tcBorders>
            <w:vAlign w:val="center"/>
            <w:hideMark/>
          </w:tcPr>
          <w:p w14:paraId="1C68DD5A" w14:textId="77777777" w:rsidR="00FD2248" w:rsidRPr="005B49B9" w:rsidRDefault="00FD2248" w:rsidP="00FD2248">
            <w:pPr>
              <w:rPr>
                <w:rFonts w:ascii="Arial" w:eastAsia="Times New Roman" w:hAnsi="Arial" w:cs="Arial"/>
                <w:color w:val="F2F2F2"/>
                <w:sz w:val="22"/>
                <w:szCs w:val="22"/>
                <w:lang w:val="en-US"/>
              </w:rPr>
            </w:pPr>
          </w:p>
        </w:tc>
        <w:tc>
          <w:tcPr>
            <w:tcW w:w="1586" w:type="dxa"/>
            <w:tcBorders>
              <w:top w:val="nil"/>
              <w:left w:val="nil"/>
              <w:bottom w:val="nil"/>
              <w:right w:val="single" w:sz="4" w:space="0" w:color="auto"/>
            </w:tcBorders>
            <w:shd w:val="clear" w:color="000000" w:fill="60497A"/>
            <w:noWrap/>
            <w:vAlign w:val="center"/>
            <w:hideMark/>
          </w:tcPr>
          <w:p w14:paraId="7E00763F" w14:textId="2D369A02" w:rsidR="00FD2248" w:rsidRPr="005B49B9" w:rsidRDefault="00793C17" w:rsidP="00FD2248">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rejected</w:t>
            </w:r>
            <w:proofErr w:type="gramEnd"/>
          </w:p>
        </w:tc>
        <w:tc>
          <w:tcPr>
            <w:tcW w:w="1405" w:type="dxa"/>
            <w:tcBorders>
              <w:top w:val="nil"/>
              <w:left w:val="nil"/>
              <w:bottom w:val="nil"/>
              <w:right w:val="single" w:sz="4" w:space="0" w:color="auto"/>
            </w:tcBorders>
            <w:shd w:val="clear" w:color="000000" w:fill="60497A"/>
            <w:noWrap/>
            <w:vAlign w:val="center"/>
            <w:hideMark/>
          </w:tcPr>
          <w:p w14:paraId="72C543B2" w14:textId="13CE7603" w:rsidR="00FD2248" w:rsidRPr="005B49B9" w:rsidRDefault="00793C17" w:rsidP="00FD2248">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denied</w:t>
            </w:r>
            <w:proofErr w:type="gramEnd"/>
          </w:p>
        </w:tc>
        <w:tc>
          <w:tcPr>
            <w:tcW w:w="1458" w:type="dxa"/>
            <w:tcBorders>
              <w:top w:val="nil"/>
              <w:left w:val="nil"/>
              <w:bottom w:val="nil"/>
              <w:right w:val="single" w:sz="4" w:space="0" w:color="auto"/>
            </w:tcBorders>
            <w:shd w:val="clear" w:color="000000" w:fill="60497A"/>
            <w:noWrap/>
            <w:vAlign w:val="center"/>
            <w:hideMark/>
          </w:tcPr>
          <w:p w14:paraId="14C30AC3" w14:textId="6824B091" w:rsidR="00FD2248" w:rsidRPr="005B49B9" w:rsidRDefault="00793C17" w:rsidP="00FD2248">
            <w:pPr>
              <w:jc w:val="center"/>
              <w:rPr>
                <w:rFonts w:ascii="Arial" w:eastAsia="Times New Roman" w:hAnsi="Arial" w:cs="Arial"/>
                <w:color w:val="F2F2F2"/>
                <w:sz w:val="22"/>
                <w:szCs w:val="22"/>
                <w:lang w:val="en-US"/>
              </w:rPr>
            </w:pPr>
            <w:proofErr w:type="gramStart"/>
            <w:r w:rsidRPr="005B49B9">
              <w:rPr>
                <w:rFonts w:ascii="Arial" w:eastAsia="Times New Roman" w:hAnsi="Arial" w:cs="Arial"/>
                <w:color w:val="F2F2F2"/>
                <w:sz w:val="22"/>
                <w:szCs w:val="22"/>
                <w:lang w:val="en-US"/>
              </w:rPr>
              <w:t>returned</w:t>
            </w:r>
            <w:proofErr w:type="gramEnd"/>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1980A180" w14:textId="77777777" w:rsidR="00FD2248" w:rsidRPr="005B49B9" w:rsidRDefault="00FD2248" w:rsidP="00FD2248">
            <w:pPr>
              <w:rPr>
                <w:rFonts w:ascii="Arial" w:eastAsia="Times New Roman" w:hAnsi="Arial" w:cs="Arial"/>
                <w:color w:val="F2F2F2"/>
                <w:sz w:val="22"/>
                <w:szCs w:val="22"/>
                <w:lang w:val="en-US"/>
              </w:rPr>
            </w:pPr>
          </w:p>
        </w:tc>
      </w:tr>
      <w:tr w:rsidR="00FD2248" w:rsidRPr="005B49B9" w14:paraId="33F29C62" w14:textId="77777777" w:rsidTr="00364BCC">
        <w:trPr>
          <w:trHeight w:val="360"/>
        </w:trPr>
        <w:tc>
          <w:tcPr>
            <w:tcW w:w="1349" w:type="dxa"/>
            <w:tcBorders>
              <w:top w:val="single" w:sz="4" w:space="0" w:color="auto"/>
              <w:left w:val="single" w:sz="4" w:space="0" w:color="auto"/>
              <w:bottom w:val="nil"/>
              <w:right w:val="single" w:sz="4" w:space="0" w:color="auto"/>
            </w:tcBorders>
            <w:shd w:val="clear" w:color="auto" w:fill="auto"/>
            <w:noWrap/>
            <w:vAlign w:val="bottom"/>
            <w:hideMark/>
          </w:tcPr>
          <w:p w14:paraId="4EAEFB7B"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2010</w:t>
            </w:r>
          </w:p>
        </w:tc>
        <w:tc>
          <w:tcPr>
            <w:tcW w:w="1403" w:type="dxa"/>
            <w:tcBorders>
              <w:top w:val="single" w:sz="4" w:space="0" w:color="auto"/>
              <w:left w:val="nil"/>
              <w:bottom w:val="nil"/>
              <w:right w:val="nil"/>
            </w:tcBorders>
            <w:shd w:val="clear" w:color="auto" w:fill="auto"/>
            <w:noWrap/>
            <w:vAlign w:val="center"/>
            <w:hideMark/>
          </w:tcPr>
          <w:p w14:paraId="29F27F2B"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106" w:type="dxa"/>
            <w:tcBorders>
              <w:top w:val="single" w:sz="4" w:space="0" w:color="auto"/>
              <w:left w:val="nil"/>
              <w:bottom w:val="nil"/>
              <w:right w:val="nil"/>
            </w:tcBorders>
            <w:shd w:val="clear" w:color="auto" w:fill="auto"/>
            <w:noWrap/>
            <w:vAlign w:val="bottom"/>
            <w:hideMark/>
          </w:tcPr>
          <w:p w14:paraId="57055429"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586" w:type="dxa"/>
            <w:tcBorders>
              <w:top w:val="single" w:sz="4" w:space="0" w:color="auto"/>
              <w:left w:val="nil"/>
              <w:bottom w:val="nil"/>
              <w:right w:val="nil"/>
            </w:tcBorders>
            <w:shd w:val="clear" w:color="auto" w:fill="auto"/>
            <w:noWrap/>
            <w:vAlign w:val="bottom"/>
            <w:hideMark/>
          </w:tcPr>
          <w:p w14:paraId="027A83F0"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05" w:type="dxa"/>
            <w:tcBorders>
              <w:top w:val="single" w:sz="4" w:space="0" w:color="auto"/>
              <w:left w:val="nil"/>
              <w:bottom w:val="nil"/>
              <w:right w:val="nil"/>
            </w:tcBorders>
            <w:shd w:val="clear" w:color="auto" w:fill="auto"/>
            <w:noWrap/>
            <w:vAlign w:val="bottom"/>
            <w:hideMark/>
          </w:tcPr>
          <w:p w14:paraId="312435E7"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58" w:type="dxa"/>
            <w:tcBorders>
              <w:top w:val="single" w:sz="4" w:space="0" w:color="auto"/>
              <w:left w:val="nil"/>
              <w:bottom w:val="nil"/>
              <w:right w:val="nil"/>
            </w:tcBorders>
            <w:shd w:val="clear" w:color="auto" w:fill="auto"/>
            <w:noWrap/>
            <w:vAlign w:val="bottom"/>
            <w:hideMark/>
          </w:tcPr>
          <w:p w14:paraId="55349CBC"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95" w:type="dxa"/>
            <w:tcBorders>
              <w:top w:val="single" w:sz="4" w:space="0" w:color="auto"/>
              <w:left w:val="nil"/>
              <w:bottom w:val="nil"/>
              <w:right w:val="single" w:sz="4" w:space="0" w:color="auto"/>
            </w:tcBorders>
            <w:shd w:val="clear" w:color="auto" w:fill="auto"/>
            <w:noWrap/>
            <w:vAlign w:val="bottom"/>
            <w:hideMark/>
          </w:tcPr>
          <w:p w14:paraId="5E6DC385"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r>
      <w:tr w:rsidR="00FD2248" w:rsidRPr="005B49B9" w14:paraId="6C447EBE" w14:textId="77777777" w:rsidTr="00364BCC">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7D6637FC"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2011</w:t>
            </w:r>
          </w:p>
        </w:tc>
        <w:tc>
          <w:tcPr>
            <w:tcW w:w="1403" w:type="dxa"/>
            <w:tcBorders>
              <w:top w:val="nil"/>
              <w:left w:val="nil"/>
              <w:bottom w:val="nil"/>
              <w:right w:val="nil"/>
            </w:tcBorders>
            <w:shd w:val="clear" w:color="auto" w:fill="auto"/>
            <w:noWrap/>
            <w:vAlign w:val="bottom"/>
            <w:hideMark/>
          </w:tcPr>
          <w:p w14:paraId="557EBD53"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106" w:type="dxa"/>
            <w:tcBorders>
              <w:top w:val="nil"/>
              <w:left w:val="nil"/>
              <w:bottom w:val="nil"/>
              <w:right w:val="nil"/>
            </w:tcBorders>
            <w:shd w:val="clear" w:color="auto" w:fill="auto"/>
            <w:noWrap/>
            <w:vAlign w:val="bottom"/>
            <w:hideMark/>
          </w:tcPr>
          <w:p w14:paraId="7A31FFE0"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586" w:type="dxa"/>
            <w:tcBorders>
              <w:top w:val="nil"/>
              <w:left w:val="nil"/>
              <w:bottom w:val="nil"/>
              <w:right w:val="nil"/>
            </w:tcBorders>
            <w:shd w:val="clear" w:color="auto" w:fill="auto"/>
            <w:noWrap/>
            <w:vAlign w:val="bottom"/>
            <w:hideMark/>
          </w:tcPr>
          <w:p w14:paraId="6B3235B3"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05" w:type="dxa"/>
            <w:tcBorders>
              <w:top w:val="nil"/>
              <w:left w:val="nil"/>
              <w:bottom w:val="nil"/>
              <w:right w:val="nil"/>
            </w:tcBorders>
            <w:shd w:val="clear" w:color="auto" w:fill="auto"/>
            <w:noWrap/>
            <w:vAlign w:val="bottom"/>
            <w:hideMark/>
          </w:tcPr>
          <w:p w14:paraId="004301A7"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58" w:type="dxa"/>
            <w:tcBorders>
              <w:top w:val="nil"/>
              <w:left w:val="nil"/>
              <w:bottom w:val="nil"/>
              <w:right w:val="nil"/>
            </w:tcBorders>
            <w:shd w:val="clear" w:color="auto" w:fill="auto"/>
            <w:noWrap/>
            <w:vAlign w:val="bottom"/>
            <w:hideMark/>
          </w:tcPr>
          <w:p w14:paraId="25A30D41"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c>
          <w:tcPr>
            <w:tcW w:w="1495" w:type="dxa"/>
            <w:tcBorders>
              <w:top w:val="nil"/>
              <w:left w:val="nil"/>
              <w:bottom w:val="nil"/>
              <w:right w:val="single" w:sz="4" w:space="0" w:color="auto"/>
            </w:tcBorders>
            <w:shd w:val="clear" w:color="auto" w:fill="auto"/>
            <w:noWrap/>
            <w:vAlign w:val="bottom"/>
            <w:hideMark/>
          </w:tcPr>
          <w:p w14:paraId="7B40492F" w14:textId="77777777" w:rsidR="00FD2248" w:rsidRPr="005B49B9" w:rsidRDefault="00FD2248" w:rsidP="00FD2248">
            <w:pPr>
              <w:jc w:val="right"/>
              <w:rPr>
                <w:rFonts w:ascii="Arial" w:eastAsia="Times New Roman" w:hAnsi="Arial" w:cs="Arial"/>
                <w:b/>
                <w:bCs/>
                <w:sz w:val="22"/>
                <w:szCs w:val="22"/>
                <w:lang w:val="en-US"/>
              </w:rPr>
            </w:pPr>
            <w:r w:rsidRPr="005B49B9">
              <w:rPr>
                <w:rFonts w:ascii="Arial" w:eastAsia="Times New Roman" w:hAnsi="Arial" w:cs="Arial"/>
                <w:b/>
                <w:bCs/>
                <w:sz w:val="22"/>
                <w:szCs w:val="22"/>
                <w:lang w:val="en-US"/>
              </w:rPr>
              <w:t>.</w:t>
            </w:r>
          </w:p>
        </w:tc>
      </w:tr>
      <w:tr w:rsidR="00FD2248" w:rsidRPr="005B49B9" w14:paraId="21CEC977" w14:textId="77777777" w:rsidTr="00364BCC">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1ABF23CE"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2012</w:t>
            </w:r>
          </w:p>
        </w:tc>
        <w:tc>
          <w:tcPr>
            <w:tcW w:w="1403" w:type="dxa"/>
            <w:tcBorders>
              <w:top w:val="nil"/>
              <w:left w:val="nil"/>
              <w:bottom w:val="nil"/>
              <w:right w:val="nil"/>
            </w:tcBorders>
            <w:shd w:val="clear" w:color="auto" w:fill="auto"/>
            <w:noWrap/>
            <w:vAlign w:val="bottom"/>
            <w:hideMark/>
          </w:tcPr>
          <w:p w14:paraId="31CD5527"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4</w:t>
            </w:r>
          </w:p>
        </w:tc>
        <w:tc>
          <w:tcPr>
            <w:tcW w:w="1106" w:type="dxa"/>
            <w:tcBorders>
              <w:top w:val="nil"/>
              <w:left w:val="nil"/>
              <w:bottom w:val="nil"/>
              <w:right w:val="nil"/>
            </w:tcBorders>
            <w:shd w:val="clear" w:color="auto" w:fill="auto"/>
            <w:noWrap/>
            <w:vAlign w:val="bottom"/>
            <w:hideMark/>
          </w:tcPr>
          <w:p w14:paraId="2D487F4D"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586" w:type="dxa"/>
            <w:tcBorders>
              <w:top w:val="nil"/>
              <w:left w:val="nil"/>
              <w:bottom w:val="nil"/>
              <w:right w:val="nil"/>
            </w:tcBorders>
            <w:shd w:val="clear" w:color="auto" w:fill="auto"/>
            <w:noWrap/>
            <w:vAlign w:val="bottom"/>
            <w:hideMark/>
          </w:tcPr>
          <w:p w14:paraId="51488769"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405" w:type="dxa"/>
            <w:tcBorders>
              <w:top w:val="nil"/>
              <w:left w:val="nil"/>
              <w:bottom w:val="nil"/>
              <w:right w:val="nil"/>
            </w:tcBorders>
            <w:shd w:val="clear" w:color="auto" w:fill="auto"/>
            <w:noWrap/>
            <w:vAlign w:val="center"/>
            <w:hideMark/>
          </w:tcPr>
          <w:p w14:paraId="667FAA33"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58" w:type="dxa"/>
            <w:tcBorders>
              <w:top w:val="nil"/>
              <w:left w:val="nil"/>
              <w:bottom w:val="nil"/>
              <w:right w:val="nil"/>
            </w:tcBorders>
            <w:shd w:val="clear" w:color="auto" w:fill="auto"/>
            <w:noWrap/>
            <w:vAlign w:val="center"/>
            <w:hideMark/>
          </w:tcPr>
          <w:p w14:paraId="4AB14550"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95" w:type="dxa"/>
            <w:tcBorders>
              <w:top w:val="nil"/>
              <w:left w:val="nil"/>
              <w:bottom w:val="nil"/>
              <w:right w:val="single" w:sz="4" w:space="0" w:color="auto"/>
            </w:tcBorders>
            <w:shd w:val="clear" w:color="auto" w:fill="auto"/>
            <w:noWrap/>
            <w:vAlign w:val="bottom"/>
            <w:hideMark/>
          </w:tcPr>
          <w:p w14:paraId="0DBCDF4A"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4</w:t>
            </w:r>
          </w:p>
        </w:tc>
      </w:tr>
      <w:tr w:rsidR="00FD2248" w:rsidRPr="005B49B9" w14:paraId="47C92E00" w14:textId="77777777" w:rsidTr="00364BCC">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15139AD2"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2013</w:t>
            </w:r>
          </w:p>
        </w:tc>
        <w:tc>
          <w:tcPr>
            <w:tcW w:w="1403" w:type="dxa"/>
            <w:tcBorders>
              <w:top w:val="nil"/>
              <w:left w:val="nil"/>
              <w:bottom w:val="nil"/>
              <w:right w:val="nil"/>
            </w:tcBorders>
            <w:shd w:val="clear" w:color="auto" w:fill="auto"/>
            <w:noWrap/>
            <w:vAlign w:val="center"/>
            <w:hideMark/>
          </w:tcPr>
          <w:p w14:paraId="2C2733CC"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106" w:type="dxa"/>
            <w:tcBorders>
              <w:top w:val="nil"/>
              <w:left w:val="nil"/>
              <w:bottom w:val="nil"/>
              <w:right w:val="nil"/>
            </w:tcBorders>
            <w:shd w:val="clear" w:color="auto" w:fill="auto"/>
            <w:noWrap/>
            <w:vAlign w:val="bottom"/>
            <w:hideMark/>
          </w:tcPr>
          <w:p w14:paraId="76FAD3DA"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c>
          <w:tcPr>
            <w:tcW w:w="1586" w:type="dxa"/>
            <w:tcBorders>
              <w:top w:val="nil"/>
              <w:left w:val="nil"/>
              <w:bottom w:val="nil"/>
              <w:right w:val="nil"/>
            </w:tcBorders>
            <w:shd w:val="clear" w:color="auto" w:fill="auto"/>
            <w:noWrap/>
            <w:vAlign w:val="bottom"/>
            <w:hideMark/>
          </w:tcPr>
          <w:p w14:paraId="0F9E3B9F"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405" w:type="dxa"/>
            <w:tcBorders>
              <w:top w:val="nil"/>
              <w:left w:val="nil"/>
              <w:bottom w:val="nil"/>
              <w:right w:val="nil"/>
            </w:tcBorders>
            <w:shd w:val="clear" w:color="auto" w:fill="auto"/>
            <w:noWrap/>
            <w:vAlign w:val="center"/>
            <w:hideMark/>
          </w:tcPr>
          <w:p w14:paraId="44620C1E"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58" w:type="dxa"/>
            <w:tcBorders>
              <w:top w:val="nil"/>
              <w:left w:val="nil"/>
              <w:bottom w:val="nil"/>
              <w:right w:val="nil"/>
            </w:tcBorders>
            <w:shd w:val="clear" w:color="auto" w:fill="auto"/>
            <w:noWrap/>
            <w:vAlign w:val="center"/>
            <w:hideMark/>
          </w:tcPr>
          <w:p w14:paraId="0077AE13"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95" w:type="dxa"/>
            <w:tcBorders>
              <w:top w:val="nil"/>
              <w:left w:val="nil"/>
              <w:bottom w:val="nil"/>
              <w:right w:val="single" w:sz="4" w:space="0" w:color="auto"/>
            </w:tcBorders>
            <w:shd w:val="clear" w:color="auto" w:fill="auto"/>
            <w:noWrap/>
            <w:vAlign w:val="bottom"/>
            <w:hideMark/>
          </w:tcPr>
          <w:p w14:paraId="0A5DB3D8"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r>
      <w:tr w:rsidR="00FD2248" w:rsidRPr="005B49B9" w14:paraId="781A7194" w14:textId="77777777" w:rsidTr="00364BCC">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0BF694C0"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2014</w:t>
            </w:r>
          </w:p>
        </w:tc>
        <w:tc>
          <w:tcPr>
            <w:tcW w:w="1403" w:type="dxa"/>
            <w:tcBorders>
              <w:top w:val="nil"/>
              <w:left w:val="nil"/>
              <w:bottom w:val="nil"/>
              <w:right w:val="nil"/>
            </w:tcBorders>
            <w:shd w:val="clear" w:color="auto" w:fill="auto"/>
            <w:noWrap/>
            <w:vAlign w:val="bottom"/>
            <w:hideMark/>
          </w:tcPr>
          <w:p w14:paraId="0DB54459"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106" w:type="dxa"/>
            <w:tcBorders>
              <w:top w:val="nil"/>
              <w:left w:val="nil"/>
              <w:bottom w:val="nil"/>
              <w:right w:val="nil"/>
            </w:tcBorders>
            <w:shd w:val="clear" w:color="auto" w:fill="auto"/>
            <w:noWrap/>
            <w:vAlign w:val="bottom"/>
            <w:hideMark/>
          </w:tcPr>
          <w:p w14:paraId="7E0BBF74"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c>
          <w:tcPr>
            <w:tcW w:w="1586" w:type="dxa"/>
            <w:tcBorders>
              <w:top w:val="nil"/>
              <w:left w:val="nil"/>
              <w:bottom w:val="nil"/>
              <w:right w:val="nil"/>
            </w:tcBorders>
            <w:shd w:val="clear" w:color="auto" w:fill="auto"/>
            <w:noWrap/>
            <w:vAlign w:val="bottom"/>
            <w:hideMark/>
          </w:tcPr>
          <w:p w14:paraId="23BCBD07"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c>
          <w:tcPr>
            <w:tcW w:w="1405" w:type="dxa"/>
            <w:tcBorders>
              <w:top w:val="nil"/>
              <w:left w:val="nil"/>
              <w:bottom w:val="nil"/>
              <w:right w:val="nil"/>
            </w:tcBorders>
            <w:shd w:val="clear" w:color="auto" w:fill="auto"/>
            <w:noWrap/>
            <w:vAlign w:val="center"/>
            <w:hideMark/>
          </w:tcPr>
          <w:p w14:paraId="1AAC8100"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58" w:type="dxa"/>
            <w:tcBorders>
              <w:top w:val="nil"/>
              <w:left w:val="nil"/>
              <w:bottom w:val="nil"/>
              <w:right w:val="nil"/>
            </w:tcBorders>
            <w:shd w:val="clear" w:color="auto" w:fill="auto"/>
            <w:noWrap/>
            <w:vAlign w:val="center"/>
            <w:hideMark/>
          </w:tcPr>
          <w:p w14:paraId="66DD8D1A"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95" w:type="dxa"/>
            <w:tcBorders>
              <w:top w:val="nil"/>
              <w:left w:val="nil"/>
              <w:bottom w:val="nil"/>
              <w:right w:val="single" w:sz="4" w:space="0" w:color="auto"/>
            </w:tcBorders>
            <w:shd w:val="clear" w:color="auto" w:fill="auto"/>
            <w:noWrap/>
            <w:vAlign w:val="bottom"/>
            <w:hideMark/>
          </w:tcPr>
          <w:p w14:paraId="5C7B0FCF"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r>
      <w:tr w:rsidR="00FD2248" w:rsidRPr="005B49B9" w14:paraId="732575C0" w14:textId="77777777" w:rsidTr="00364BCC">
        <w:trPr>
          <w:trHeight w:val="360"/>
        </w:trPr>
        <w:tc>
          <w:tcPr>
            <w:tcW w:w="1349" w:type="dxa"/>
            <w:tcBorders>
              <w:top w:val="nil"/>
              <w:left w:val="single" w:sz="4" w:space="0" w:color="auto"/>
              <w:bottom w:val="nil"/>
              <w:right w:val="single" w:sz="4" w:space="0" w:color="auto"/>
            </w:tcBorders>
            <w:shd w:val="clear" w:color="auto" w:fill="auto"/>
            <w:noWrap/>
            <w:vAlign w:val="bottom"/>
            <w:hideMark/>
          </w:tcPr>
          <w:p w14:paraId="298444DC"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2015</w:t>
            </w:r>
          </w:p>
        </w:tc>
        <w:tc>
          <w:tcPr>
            <w:tcW w:w="1403" w:type="dxa"/>
            <w:tcBorders>
              <w:top w:val="nil"/>
              <w:left w:val="nil"/>
              <w:bottom w:val="nil"/>
              <w:right w:val="nil"/>
            </w:tcBorders>
            <w:shd w:val="clear" w:color="auto" w:fill="auto"/>
            <w:noWrap/>
            <w:vAlign w:val="center"/>
            <w:hideMark/>
          </w:tcPr>
          <w:p w14:paraId="52527CC5"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c>
          <w:tcPr>
            <w:tcW w:w="1106" w:type="dxa"/>
            <w:tcBorders>
              <w:top w:val="nil"/>
              <w:left w:val="nil"/>
              <w:bottom w:val="nil"/>
              <w:right w:val="nil"/>
            </w:tcBorders>
            <w:shd w:val="clear" w:color="auto" w:fill="auto"/>
            <w:noWrap/>
            <w:vAlign w:val="center"/>
            <w:hideMark/>
          </w:tcPr>
          <w:p w14:paraId="41896B08"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586" w:type="dxa"/>
            <w:tcBorders>
              <w:top w:val="nil"/>
              <w:left w:val="nil"/>
              <w:bottom w:val="nil"/>
              <w:right w:val="nil"/>
            </w:tcBorders>
            <w:shd w:val="clear" w:color="auto" w:fill="auto"/>
            <w:noWrap/>
            <w:vAlign w:val="center"/>
            <w:hideMark/>
          </w:tcPr>
          <w:p w14:paraId="4FDBE719"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05" w:type="dxa"/>
            <w:tcBorders>
              <w:top w:val="nil"/>
              <w:left w:val="nil"/>
              <w:bottom w:val="nil"/>
              <w:right w:val="nil"/>
            </w:tcBorders>
            <w:shd w:val="clear" w:color="auto" w:fill="auto"/>
            <w:noWrap/>
            <w:vAlign w:val="center"/>
            <w:hideMark/>
          </w:tcPr>
          <w:p w14:paraId="423D9814"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58" w:type="dxa"/>
            <w:tcBorders>
              <w:top w:val="nil"/>
              <w:left w:val="nil"/>
              <w:bottom w:val="nil"/>
              <w:right w:val="nil"/>
            </w:tcBorders>
            <w:shd w:val="clear" w:color="auto" w:fill="auto"/>
            <w:noWrap/>
            <w:vAlign w:val="center"/>
            <w:hideMark/>
          </w:tcPr>
          <w:p w14:paraId="5000039E"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95" w:type="dxa"/>
            <w:tcBorders>
              <w:top w:val="nil"/>
              <w:left w:val="nil"/>
              <w:bottom w:val="nil"/>
              <w:right w:val="single" w:sz="4" w:space="0" w:color="auto"/>
            </w:tcBorders>
            <w:shd w:val="clear" w:color="auto" w:fill="auto"/>
            <w:noWrap/>
            <w:vAlign w:val="bottom"/>
            <w:hideMark/>
          </w:tcPr>
          <w:p w14:paraId="2B97A1C3"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1</w:t>
            </w:r>
          </w:p>
        </w:tc>
      </w:tr>
      <w:tr w:rsidR="00FD2248" w:rsidRPr="005B49B9" w14:paraId="6A3A9DB6" w14:textId="77777777" w:rsidTr="00364BCC">
        <w:trPr>
          <w:trHeight w:val="360"/>
        </w:trPr>
        <w:tc>
          <w:tcPr>
            <w:tcW w:w="1349" w:type="dxa"/>
            <w:tcBorders>
              <w:top w:val="nil"/>
              <w:left w:val="single" w:sz="4" w:space="0" w:color="auto"/>
              <w:bottom w:val="single" w:sz="4" w:space="0" w:color="auto"/>
              <w:right w:val="single" w:sz="4" w:space="0" w:color="auto"/>
            </w:tcBorders>
            <w:shd w:val="clear" w:color="auto" w:fill="auto"/>
            <w:noWrap/>
            <w:vAlign w:val="bottom"/>
            <w:hideMark/>
          </w:tcPr>
          <w:p w14:paraId="7F2344A0" w14:textId="77777777" w:rsidR="00FD2248" w:rsidRPr="005B49B9" w:rsidRDefault="00FD2248" w:rsidP="00FD2248">
            <w:pPr>
              <w:jc w:val="center"/>
              <w:rPr>
                <w:rFonts w:ascii="Arial" w:eastAsia="Times New Roman" w:hAnsi="Arial" w:cs="Arial"/>
                <w:b/>
                <w:bCs/>
                <w:sz w:val="22"/>
                <w:szCs w:val="22"/>
                <w:lang w:val="en-US"/>
              </w:rPr>
            </w:pPr>
            <w:r w:rsidRPr="005B49B9">
              <w:rPr>
                <w:rFonts w:ascii="Arial" w:eastAsia="Times New Roman" w:hAnsi="Arial" w:cs="Arial"/>
                <w:b/>
                <w:bCs/>
                <w:sz w:val="22"/>
                <w:szCs w:val="22"/>
                <w:lang w:val="en-US"/>
              </w:rPr>
              <w:t>I p. 2016</w:t>
            </w:r>
          </w:p>
        </w:tc>
        <w:tc>
          <w:tcPr>
            <w:tcW w:w="1403" w:type="dxa"/>
            <w:tcBorders>
              <w:top w:val="nil"/>
              <w:left w:val="nil"/>
              <w:bottom w:val="single" w:sz="4" w:space="0" w:color="auto"/>
              <w:right w:val="nil"/>
            </w:tcBorders>
            <w:shd w:val="clear" w:color="auto" w:fill="auto"/>
            <w:noWrap/>
            <w:vAlign w:val="center"/>
            <w:hideMark/>
          </w:tcPr>
          <w:p w14:paraId="070CB453"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106" w:type="dxa"/>
            <w:tcBorders>
              <w:top w:val="nil"/>
              <w:left w:val="nil"/>
              <w:bottom w:val="single" w:sz="4" w:space="0" w:color="auto"/>
              <w:right w:val="nil"/>
            </w:tcBorders>
            <w:shd w:val="clear" w:color="auto" w:fill="auto"/>
            <w:noWrap/>
            <w:vAlign w:val="center"/>
            <w:hideMark/>
          </w:tcPr>
          <w:p w14:paraId="0D6E93EB"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586" w:type="dxa"/>
            <w:tcBorders>
              <w:top w:val="nil"/>
              <w:left w:val="nil"/>
              <w:bottom w:val="single" w:sz="4" w:space="0" w:color="auto"/>
              <w:right w:val="nil"/>
            </w:tcBorders>
            <w:shd w:val="clear" w:color="auto" w:fill="auto"/>
            <w:noWrap/>
            <w:vAlign w:val="center"/>
            <w:hideMark/>
          </w:tcPr>
          <w:p w14:paraId="662D67F3"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05" w:type="dxa"/>
            <w:tcBorders>
              <w:top w:val="nil"/>
              <w:left w:val="nil"/>
              <w:bottom w:val="single" w:sz="4" w:space="0" w:color="auto"/>
              <w:right w:val="nil"/>
            </w:tcBorders>
            <w:shd w:val="clear" w:color="auto" w:fill="auto"/>
            <w:noWrap/>
            <w:vAlign w:val="center"/>
            <w:hideMark/>
          </w:tcPr>
          <w:p w14:paraId="76F9BD5A"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58" w:type="dxa"/>
            <w:tcBorders>
              <w:top w:val="nil"/>
              <w:left w:val="nil"/>
              <w:bottom w:val="single" w:sz="4" w:space="0" w:color="auto"/>
              <w:right w:val="nil"/>
            </w:tcBorders>
            <w:shd w:val="clear" w:color="auto" w:fill="auto"/>
            <w:noWrap/>
            <w:vAlign w:val="center"/>
            <w:hideMark/>
          </w:tcPr>
          <w:p w14:paraId="65E20AFF" w14:textId="77777777" w:rsidR="00FD2248" w:rsidRPr="005B49B9" w:rsidRDefault="00FD2248" w:rsidP="00FD2248">
            <w:pPr>
              <w:jc w:val="right"/>
              <w:rPr>
                <w:rFonts w:ascii="Times New Roman" w:eastAsia="Times New Roman" w:hAnsi="Times New Roman" w:cs="Times New Roman"/>
                <w:sz w:val="22"/>
                <w:szCs w:val="22"/>
                <w:lang w:val="en-US"/>
              </w:rPr>
            </w:pPr>
            <w:r w:rsidRPr="005B49B9">
              <w:rPr>
                <w:rFonts w:ascii="Times New Roman" w:eastAsia="Times New Roman" w:hAnsi="Times New Roman" w:cs="Times New Roman"/>
                <w:sz w:val="22"/>
                <w:szCs w:val="22"/>
                <w:lang w:val="en-US"/>
              </w:rPr>
              <w:t>–</w:t>
            </w:r>
          </w:p>
        </w:tc>
        <w:tc>
          <w:tcPr>
            <w:tcW w:w="1495" w:type="dxa"/>
            <w:tcBorders>
              <w:top w:val="nil"/>
              <w:left w:val="nil"/>
              <w:bottom w:val="single" w:sz="4" w:space="0" w:color="auto"/>
              <w:right w:val="single" w:sz="4" w:space="0" w:color="auto"/>
            </w:tcBorders>
            <w:shd w:val="clear" w:color="auto" w:fill="auto"/>
            <w:noWrap/>
            <w:vAlign w:val="bottom"/>
            <w:hideMark/>
          </w:tcPr>
          <w:p w14:paraId="2BCCC8A8" w14:textId="77777777" w:rsidR="00FD2248" w:rsidRPr="005B49B9" w:rsidRDefault="00FD2248" w:rsidP="00FD2248">
            <w:pPr>
              <w:jc w:val="right"/>
              <w:rPr>
                <w:rFonts w:ascii="Arial" w:eastAsia="Times New Roman" w:hAnsi="Arial" w:cs="Arial"/>
                <w:sz w:val="22"/>
                <w:szCs w:val="22"/>
                <w:lang w:val="en-US"/>
              </w:rPr>
            </w:pPr>
            <w:r w:rsidRPr="005B49B9">
              <w:rPr>
                <w:rFonts w:ascii="Arial" w:eastAsia="Times New Roman" w:hAnsi="Arial" w:cs="Arial"/>
                <w:sz w:val="22"/>
                <w:szCs w:val="22"/>
                <w:lang w:val="en-US"/>
              </w:rPr>
              <w:t>2</w:t>
            </w:r>
          </w:p>
        </w:tc>
      </w:tr>
    </w:tbl>
    <w:p w14:paraId="3B19948A" w14:textId="0D3B2BAD" w:rsidR="0034333B" w:rsidRDefault="00170633" w:rsidP="00B44787">
      <w:pPr>
        <w:spacing w:after="200" w:line="276" w:lineRule="auto"/>
        <w:jc w:val="both"/>
        <w:rPr>
          <w:rFonts w:asciiTheme="majorHAnsi" w:eastAsia="Calibri" w:hAnsiTheme="majorHAnsi" w:cs="Times New Roman"/>
          <w:b/>
        </w:rPr>
      </w:pPr>
      <w:r>
        <w:rPr>
          <w:rFonts w:asciiTheme="majorHAnsi" w:eastAsia="Calibri" w:hAnsiTheme="majorHAnsi" w:cs="Times New Roman"/>
          <w:b/>
        </w:rPr>
        <w:t xml:space="preserve">IV. </w:t>
      </w:r>
      <w:r w:rsidR="0034333B" w:rsidRPr="0034333B">
        <w:rPr>
          <w:rFonts w:asciiTheme="majorHAnsi" w:eastAsia="Calibri" w:hAnsiTheme="majorHAnsi" w:cs="Times New Roman"/>
          <w:b/>
        </w:rPr>
        <w:t>CERTIFICATION REQUIREMENTS:</w:t>
      </w:r>
    </w:p>
    <w:p w14:paraId="18241AAE" w14:textId="19685F14" w:rsidR="00C73BEC" w:rsidRDefault="008B1FCF" w:rsidP="00B44787">
      <w:pPr>
        <w:spacing w:after="200" w:line="276" w:lineRule="auto"/>
        <w:jc w:val="both"/>
        <w:rPr>
          <w:rFonts w:asciiTheme="majorHAnsi" w:eastAsia="Calibri" w:hAnsiTheme="majorHAnsi" w:cs="Times New Roman"/>
        </w:rPr>
      </w:pPr>
      <w:r w:rsidRPr="003F284D">
        <w:rPr>
          <w:rFonts w:asciiTheme="majorHAnsi" w:eastAsia="Calibri" w:hAnsiTheme="majorHAnsi" w:cs="Times New Roman"/>
        </w:rPr>
        <w:t>The Act does not have many detailed criteria for certification (such as typicality or adequacy of representation, present in Rule 23 (a) of the U.</w:t>
      </w:r>
      <w:r w:rsidR="00BB6427">
        <w:rPr>
          <w:rFonts w:asciiTheme="majorHAnsi" w:eastAsia="Calibri" w:hAnsiTheme="majorHAnsi" w:cs="Times New Roman"/>
        </w:rPr>
        <w:t>S. Federal Rules of Procedure). Nevertheless,</w:t>
      </w:r>
      <w:r>
        <w:rPr>
          <w:rFonts w:asciiTheme="majorHAnsi" w:eastAsia="Calibri" w:hAnsiTheme="majorHAnsi" w:cs="Times New Roman"/>
        </w:rPr>
        <w:t xml:space="preserve"> many cases still fail at the certification stage. Some of the requirements are quite typical of a</w:t>
      </w:r>
      <w:r w:rsidR="00182F60">
        <w:rPr>
          <w:rFonts w:asciiTheme="majorHAnsi" w:eastAsia="Calibri" w:hAnsiTheme="majorHAnsi" w:cs="Times New Roman"/>
        </w:rPr>
        <w:t xml:space="preserve"> class action procedure and </w:t>
      </w:r>
      <w:r>
        <w:rPr>
          <w:rFonts w:asciiTheme="majorHAnsi" w:eastAsia="Calibri" w:hAnsiTheme="majorHAnsi" w:cs="Times New Roman"/>
        </w:rPr>
        <w:t xml:space="preserve">relatively straightforward. For instance, the action </w:t>
      </w:r>
      <w:r w:rsidRPr="003F284D">
        <w:rPr>
          <w:rFonts w:asciiTheme="majorHAnsi" w:eastAsia="Calibri" w:hAnsiTheme="majorHAnsi" w:cs="Times New Roman"/>
        </w:rPr>
        <w:t>must be brought in the name of at least 10 people with claims of the same kind and with the same or similar factual basis.</w:t>
      </w:r>
      <w:r w:rsidRPr="003F284D">
        <w:rPr>
          <w:rFonts w:asciiTheme="majorHAnsi" w:eastAsia="Calibri" w:hAnsiTheme="majorHAnsi" w:cs="Times New Roman"/>
          <w:vertAlign w:val="superscript"/>
        </w:rPr>
        <w:footnoteReference w:id="12"/>
      </w:r>
      <w:r>
        <w:rPr>
          <w:rFonts w:asciiTheme="majorHAnsi" w:eastAsia="Calibri" w:hAnsiTheme="majorHAnsi" w:cs="Times New Roman"/>
        </w:rPr>
        <w:t xml:space="preserve"> </w:t>
      </w:r>
      <w:r w:rsidR="00BB6427">
        <w:rPr>
          <w:rFonts w:asciiTheme="majorHAnsi" w:eastAsia="Calibri" w:hAnsiTheme="majorHAnsi" w:cs="Times New Roman"/>
        </w:rPr>
        <w:t>Other requirements, however, have been heavily</w:t>
      </w:r>
      <w:r w:rsidR="007114D5">
        <w:rPr>
          <w:rFonts w:asciiTheme="majorHAnsi" w:eastAsia="Calibri" w:hAnsiTheme="majorHAnsi" w:cs="Times New Roman"/>
        </w:rPr>
        <w:t xml:space="preserve"> criticiz</w:t>
      </w:r>
      <w:r w:rsidR="00BB6427">
        <w:rPr>
          <w:rFonts w:asciiTheme="majorHAnsi" w:eastAsia="Calibri" w:hAnsiTheme="majorHAnsi" w:cs="Times New Roman"/>
        </w:rPr>
        <w:t>ed</w:t>
      </w:r>
      <w:r>
        <w:rPr>
          <w:rFonts w:asciiTheme="majorHAnsi" w:eastAsia="Calibri" w:hAnsiTheme="majorHAnsi" w:cs="Times New Roman"/>
        </w:rPr>
        <w:t xml:space="preserve"> as </w:t>
      </w:r>
      <w:r w:rsidR="007114D5">
        <w:rPr>
          <w:rFonts w:asciiTheme="majorHAnsi" w:eastAsia="Calibri" w:hAnsiTheme="majorHAnsi" w:cs="Times New Roman"/>
        </w:rPr>
        <w:t xml:space="preserve">overly stringent, formalistic, </w:t>
      </w:r>
      <w:proofErr w:type="gramStart"/>
      <w:r w:rsidR="007114D5">
        <w:rPr>
          <w:rFonts w:asciiTheme="majorHAnsi" w:eastAsia="Calibri" w:hAnsiTheme="majorHAnsi" w:cs="Times New Roman"/>
        </w:rPr>
        <w:t>difficult</w:t>
      </w:r>
      <w:proofErr w:type="gramEnd"/>
      <w:r w:rsidR="007114D5">
        <w:rPr>
          <w:rFonts w:asciiTheme="majorHAnsi" w:eastAsia="Calibri" w:hAnsiTheme="majorHAnsi" w:cs="Times New Roman"/>
        </w:rPr>
        <w:t xml:space="preserve"> to implement, and even, according to some, going against the very nature of a class action procedure</w:t>
      </w:r>
      <w:r>
        <w:rPr>
          <w:rFonts w:asciiTheme="majorHAnsi" w:eastAsia="Calibri" w:hAnsiTheme="majorHAnsi" w:cs="Times New Roman"/>
        </w:rPr>
        <w:t xml:space="preserve">. </w:t>
      </w:r>
    </w:p>
    <w:p w14:paraId="07603D55" w14:textId="1914D0C1" w:rsidR="008B1FCF" w:rsidRPr="007F0CE4" w:rsidRDefault="008B1FCF" w:rsidP="00B44787">
      <w:pPr>
        <w:spacing w:after="200" w:line="276" w:lineRule="auto"/>
        <w:jc w:val="both"/>
        <w:rPr>
          <w:rFonts w:asciiTheme="majorHAnsi" w:eastAsia="Calibri" w:hAnsiTheme="majorHAnsi" w:cs="Times New Roman"/>
        </w:rPr>
      </w:pPr>
      <w:r>
        <w:rPr>
          <w:rFonts w:asciiTheme="majorHAnsi" w:eastAsia="Calibri" w:hAnsiTheme="majorHAnsi" w:cs="Times New Roman"/>
        </w:rPr>
        <w:t xml:space="preserve">In the </w:t>
      </w:r>
      <w:r w:rsidR="008A289B">
        <w:rPr>
          <w:rFonts w:asciiTheme="majorHAnsi" w:eastAsia="Calibri" w:hAnsiTheme="majorHAnsi" w:cs="Times New Roman"/>
        </w:rPr>
        <w:t>following part of this report I examine a number of particularly controversial</w:t>
      </w:r>
      <w:r>
        <w:rPr>
          <w:rFonts w:asciiTheme="majorHAnsi" w:eastAsia="Calibri" w:hAnsiTheme="majorHAnsi" w:cs="Times New Roman"/>
        </w:rPr>
        <w:t xml:space="preserve"> requirements using cases where they gave rise to problems.</w:t>
      </w:r>
      <w:r w:rsidR="00693A1D">
        <w:rPr>
          <w:rFonts w:asciiTheme="majorHAnsi" w:eastAsia="Calibri" w:hAnsiTheme="majorHAnsi" w:cs="Times New Roman"/>
        </w:rPr>
        <w:t xml:space="preserve"> </w:t>
      </w:r>
      <w:r w:rsidR="008A289B">
        <w:rPr>
          <w:rFonts w:asciiTheme="majorHAnsi" w:eastAsia="Calibri" w:hAnsiTheme="majorHAnsi" w:cs="Times New Roman"/>
        </w:rPr>
        <w:t>These requirements concern the types of cases covered by the Act</w:t>
      </w:r>
      <w:r w:rsidR="00220424">
        <w:rPr>
          <w:rFonts w:asciiTheme="majorHAnsi" w:eastAsia="Calibri" w:hAnsiTheme="majorHAnsi" w:cs="Times New Roman"/>
        </w:rPr>
        <w:t xml:space="preserve"> (scope)</w:t>
      </w:r>
      <w:r w:rsidR="008A289B">
        <w:rPr>
          <w:rFonts w:asciiTheme="majorHAnsi" w:eastAsia="Calibri" w:hAnsiTheme="majorHAnsi" w:cs="Times New Roman"/>
        </w:rPr>
        <w:t xml:space="preserve">, and the standardisation of monetary claims (the requirement that they should all be equal, at least in sub-groups). </w:t>
      </w:r>
    </w:p>
    <w:p w14:paraId="7D8540E8" w14:textId="0E987925" w:rsidR="008A289B" w:rsidRPr="008A289B" w:rsidRDefault="00003AC2" w:rsidP="008A289B">
      <w:pPr>
        <w:pStyle w:val="ListParagraph"/>
        <w:numPr>
          <w:ilvl w:val="0"/>
          <w:numId w:val="5"/>
        </w:numPr>
        <w:spacing w:after="200" w:line="276" w:lineRule="auto"/>
        <w:jc w:val="both"/>
        <w:rPr>
          <w:rFonts w:ascii="Calibri" w:eastAsia="Calibri" w:hAnsi="Calibri" w:cs="Times New Roman"/>
        </w:rPr>
      </w:pPr>
      <w:r w:rsidRPr="008A289B">
        <w:rPr>
          <w:rFonts w:ascii="Calibri" w:eastAsia="Calibri" w:hAnsi="Calibri" w:cs="Times New Roman"/>
          <w:b/>
        </w:rPr>
        <w:t>SCOPE</w:t>
      </w:r>
      <w:r w:rsidR="00170633">
        <w:rPr>
          <w:rFonts w:ascii="Calibri" w:eastAsia="Calibri" w:hAnsi="Calibri" w:cs="Times New Roman"/>
          <w:b/>
        </w:rPr>
        <w:t xml:space="preserve"> OF THE PROCEDURE</w:t>
      </w:r>
      <w:r w:rsidRPr="008A289B">
        <w:rPr>
          <w:rFonts w:ascii="Calibri" w:eastAsia="Calibri" w:hAnsi="Calibri" w:cs="Times New Roman"/>
          <w:b/>
        </w:rPr>
        <w:t>:</w:t>
      </w:r>
      <w:r w:rsidRPr="008A289B">
        <w:rPr>
          <w:rFonts w:ascii="Calibri" w:eastAsia="Calibri" w:hAnsi="Calibri" w:cs="Times New Roman"/>
        </w:rPr>
        <w:t xml:space="preserve"> </w:t>
      </w:r>
    </w:p>
    <w:p w14:paraId="536A8817" w14:textId="5F2F5AB1" w:rsidR="00AB4298" w:rsidRPr="008A289B" w:rsidRDefault="008A289B" w:rsidP="008A289B">
      <w:pPr>
        <w:spacing w:after="200" w:line="276" w:lineRule="auto"/>
        <w:jc w:val="both"/>
        <w:rPr>
          <w:rFonts w:ascii="Calibri" w:eastAsia="Calibri" w:hAnsi="Calibri" w:cs="Times New Roman"/>
        </w:rPr>
      </w:pPr>
      <w:r>
        <w:rPr>
          <w:rFonts w:ascii="Calibri" w:eastAsia="Calibri" w:hAnsi="Calibri" w:cs="Times New Roman"/>
        </w:rPr>
        <w:t>C</w:t>
      </w:r>
      <w:r w:rsidR="00003AC2" w:rsidRPr="008A289B">
        <w:rPr>
          <w:rFonts w:ascii="Calibri" w:eastAsia="Calibri" w:hAnsi="Calibri" w:cs="Times New Roman"/>
        </w:rPr>
        <w:t>lass actions can only be brought in three categories of cases:</w:t>
      </w:r>
      <w:r w:rsidR="00AB4298" w:rsidRPr="008A289B">
        <w:rPr>
          <w:rFonts w:ascii="Calibri" w:eastAsia="Calibri" w:hAnsi="Calibri" w:cs="Times New Roman"/>
        </w:rPr>
        <w:t xml:space="preserve"> “consumer claims, product liability claims and tort liability claims, excluding claims for the protection of personal interests”.</w:t>
      </w:r>
      <w:r w:rsidR="00003AC2">
        <w:rPr>
          <w:rStyle w:val="FootnoteReference"/>
          <w:rFonts w:ascii="Calibri" w:eastAsia="Calibri" w:hAnsi="Calibri" w:cs="Times New Roman"/>
        </w:rPr>
        <w:footnoteReference w:id="13"/>
      </w:r>
      <w:r w:rsidR="00AB4298" w:rsidRPr="008A289B">
        <w:rPr>
          <w:rFonts w:ascii="Calibri" w:eastAsia="Calibri" w:hAnsi="Calibri" w:cs="Times New Roman"/>
        </w:rPr>
        <w:t xml:space="preserve"> </w:t>
      </w:r>
    </w:p>
    <w:p w14:paraId="5BD79952" w14:textId="5E60B606" w:rsidR="00453DC1" w:rsidRDefault="00D24BB1" w:rsidP="00B44787">
      <w:pPr>
        <w:spacing w:after="200" w:line="276" w:lineRule="auto"/>
        <w:jc w:val="both"/>
        <w:rPr>
          <w:rFonts w:ascii="Calibri" w:eastAsia="Calibri" w:hAnsi="Calibri" w:cs="Times New Roman"/>
        </w:rPr>
      </w:pPr>
      <w:r>
        <w:rPr>
          <w:rFonts w:ascii="Calibri" w:eastAsia="Calibri" w:hAnsi="Calibri" w:cs="Times New Roman"/>
        </w:rPr>
        <w:t>To summarize</w:t>
      </w:r>
      <w:r w:rsidR="00453DC1">
        <w:rPr>
          <w:rFonts w:ascii="Calibri" w:eastAsia="Calibri" w:hAnsi="Calibri" w:cs="Times New Roman"/>
        </w:rPr>
        <w:t>, class actions can be brought in the following types of cases:</w:t>
      </w:r>
    </w:p>
    <w:p w14:paraId="4F751C0E" w14:textId="49DC6E7E" w:rsidR="000D1C4C" w:rsidRPr="00222AC3" w:rsidRDefault="000D1C4C" w:rsidP="00222AC3">
      <w:pPr>
        <w:pStyle w:val="ListParagraph"/>
        <w:numPr>
          <w:ilvl w:val="0"/>
          <w:numId w:val="3"/>
        </w:numPr>
        <w:spacing w:after="200" w:line="276" w:lineRule="auto"/>
        <w:jc w:val="both"/>
        <w:rPr>
          <w:rFonts w:ascii="Calibri" w:eastAsia="Calibri" w:hAnsi="Calibri" w:cs="Times New Roman"/>
        </w:rPr>
      </w:pPr>
      <w:r w:rsidRPr="00222AC3">
        <w:rPr>
          <w:rFonts w:ascii="Calibri" w:eastAsia="Calibri" w:hAnsi="Calibri" w:cs="Times New Roman"/>
        </w:rPr>
        <w:t>Various consumer law cases, including for instance unfair contractual clauses, unfair commercial practices, consumer credit, package holiday, consumer sales,</w:t>
      </w:r>
    </w:p>
    <w:p w14:paraId="437738E2" w14:textId="0617ABE5" w:rsidR="000D1C4C" w:rsidRPr="00222AC3" w:rsidRDefault="000D1C4C" w:rsidP="00222AC3">
      <w:pPr>
        <w:pStyle w:val="ListParagraph"/>
        <w:numPr>
          <w:ilvl w:val="0"/>
          <w:numId w:val="3"/>
        </w:numPr>
        <w:spacing w:after="200" w:line="276" w:lineRule="auto"/>
        <w:jc w:val="both"/>
        <w:rPr>
          <w:rFonts w:ascii="Calibri" w:eastAsia="Calibri" w:hAnsi="Calibri" w:cs="Times New Roman"/>
        </w:rPr>
      </w:pPr>
      <w:r w:rsidRPr="00222AC3">
        <w:rPr>
          <w:rFonts w:ascii="Calibri" w:eastAsia="Calibri" w:hAnsi="Calibri" w:cs="Times New Roman"/>
        </w:rPr>
        <w:t>Product liability cases based on the implemented Product Liability Directive, as well as on traditional fault-based tort liability provisions of the Civil Code,</w:t>
      </w:r>
    </w:p>
    <w:p w14:paraId="694DBCE9" w14:textId="186815CD" w:rsidR="000D1C4C" w:rsidRPr="00222AC3" w:rsidRDefault="000D1C4C" w:rsidP="00222AC3">
      <w:pPr>
        <w:pStyle w:val="ListParagraph"/>
        <w:numPr>
          <w:ilvl w:val="0"/>
          <w:numId w:val="3"/>
        </w:numPr>
        <w:spacing w:after="200" w:line="276" w:lineRule="auto"/>
        <w:jc w:val="both"/>
        <w:rPr>
          <w:rFonts w:ascii="Calibri" w:eastAsia="Calibri" w:hAnsi="Calibri" w:cs="Times New Roman"/>
        </w:rPr>
      </w:pPr>
      <w:r w:rsidRPr="00222AC3">
        <w:rPr>
          <w:rFonts w:ascii="Calibri" w:eastAsia="Calibri" w:hAnsi="Calibri" w:cs="Times New Roman"/>
        </w:rPr>
        <w:t xml:space="preserve">Other tort liability cases: including medical negligence, liability of state bodies for actions or omissions </w:t>
      </w:r>
      <w:r w:rsidR="00FC5E2E">
        <w:rPr>
          <w:rFonts w:ascii="Calibri" w:eastAsia="Calibri" w:hAnsi="Calibri" w:cs="Times New Roman"/>
        </w:rPr>
        <w:t xml:space="preserve">while exercising public authority (also for issuing </w:t>
      </w:r>
      <w:r w:rsidRPr="00222AC3">
        <w:rPr>
          <w:rFonts w:ascii="Calibri" w:eastAsia="Calibri" w:hAnsi="Calibri" w:cs="Times New Roman"/>
        </w:rPr>
        <w:t>legislative or administrative decision</w:t>
      </w:r>
      <w:r w:rsidR="00FC5E2E">
        <w:rPr>
          <w:rFonts w:ascii="Calibri" w:eastAsia="Calibri" w:hAnsi="Calibri" w:cs="Times New Roman"/>
        </w:rPr>
        <w:t>s</w:t>
      </w:r>
      <w:r w:rsidRPr="00222AC3">
        <w:rPr>
          <w:rFonts w:ascii="Calibri" w:eastAsia="Calibri" w:hAnsi="Calibri" w:cs="Times New Roman"/>
        </w:rPr>
        <w:t xml:space="preserve">), liability for actions or omissions of another person, or for </w:t>
      </w:r>
      <w:r w:rsidR="00222AC3">
        <w:rPr>
          <w:rFonts w:ascii="Calibri" w:eastAsia="Calibri" w:hAnsi="Calibri" w:cs="Times New Roman"/>
        </w:rPr>
        <w:t xml:space="preserve">damage caused by an </w:t>
      </w:r>
      <w:r w:rsidRPr="00222AC3">
        <w:rPr>
          <w:rFonts w:ascii="Calibri" w:eastAsia="Calibri" w:hAnsi="Calibri" w:cs="Times New Roman"/>
        </w:rPr>
        <w:t xml:space="preserve">animal, and, as far as they </w:t>
      </w:r>
      <w:r w:rsidR="002D694A">
        <w:rPr>
          <w:rFonts w:ascii="Calibri" w:eastAsia="Calibri" w:hAnsi="Calibri" w:cs="Times New Roman"/>
        </w:rPr>
        <w:t>concern</w:t>
      </w:r>
      <w:r w:rsidRPr="00222AC3">
        <w:rPr>
          <w:rFonts w:ascii="Calibri" w:eastAsia="Calibri" w:hAnsi="Calibri" w:cs="Times New Roman"/>
        </w:rPr>
        <w:t xml:space="preserve"> tortious acts: liability within the areas of environmental protection law, competition law, IP law</w:t>
      </w:r>
      <w:r w:rsidR="002D694A">
        <w:rPr>
          <w:rFonts w:ascii="Calibri" w:eastAsia="Calibri" w:hAnsi="Calibri" w:cs="Times New Roman"/>
        </w:rPr>
        <w:t xml:space="preserve">, </w:t>
      </w:r>
      <w:proofErr w:type="spellStart"/>
      <w:r w:rsidR="002D694A">
        <w:rPr>
          <w:rFonts w:ascii="Calibri" w:eastAsia="Calibri" w:hAnsi="Calibri" w:cs="Times New Roman"/>
        </w:rPr>
        <w:t>labour</w:t>
      </w:r>
      <w:proofErr w:type="spellEnd"/>
      <w:r w:rsidR="002D694A">
        <w:rPr>
          <w:rFonts w:ascii="Calibri" w:eastAsia="Calibri" w:hAnsi="Calibri" w:cs="Times New Roman"/>
        </w:rPr>
        <w:t xml:space="preserve"> law</w:t>
      </w:r>
      <w:r w:rsidRPr="00222AC3">
        <w:rPr>
          <w:rFonts w:ascii="Calibri" w:eastAsia="Calibri" w:hAnsi="Calibri" w:cs="Times New Roman"/>
        </w:rPr>
        <w:t xml:space="preserve">. </w:t>
      </w:r>
    </w:p>
    <w:p w14:paraId="2F6D5875" w14:textId="7F076113" w:rsidR="000D1C4C" w:rsidRDefault="002D694A" w:rsidP="00B44787">
      <w:pPr>
        <w:spacing w:after="200" w:line="276" w:lineRule="auto"/>
        <w:jc w:val="both"/>
        <w:rPr>
          <w:rFonts w:ascii="Calibri" w:eastAsia="Calibri" w:hAnsi="Calibri" w:cs="Times New Roman"/>
        </w:rPr>
      </w:pPr>
      <w:r>
        <w:rPr>
          <w:rFonts w:ascii="Calibri" w:eastAsia="Calibri" w:hAnsi="Calibri" w:cs="Times New Roman"/>
        </w:rPr>
        <w:t>They cannot be brought in the following types of cases:</w:t>
      </w:r>
    </w:p>
    <w:p w14:paraId="45DE5FA0" w14:textId="0A6C3738" w:rsidR="002D694A" w:rsidRDefault="002D694A" w:rsidP="002D694A">
      <w:pPr>
        <w:pStyle w:val="ListParagraph"/>
        <w:numPr>
          <w:ilvl w:val="0"/>
          <w:numId w:val="4"/>
        </w:numPr>
        <w:spacing w:after="200" w:line="276" w:lineRule="auto"/>
        <w:jc w:val="both"/>
        <w:rPr>
          <w:rFonts w:ascii="Calibri" w:eastAsia="Calibri" w:hAnsi="Calibri" w:cs="Times New Roman"/>
        </w:rPr>
      </w:pPr>
      <w:r>
        <w:rPr>
          <w:rFonts w:ascii="Calibri" w:eastAsia="Calibri" w:hAnsi="Calibri" w:cs="Times New Roman"/>
        </w:rPr>
        <w:t xml:space="preserve">Contract </w:t>
      </w:r>
      <w:r w:rsidR="00C429E7">
        <w:rPr>
          <w:rFonts w:ascii="Calibri" w:eastAsia="Calibri" w:hAnsi="Calibri" w:cs="Times New Roman"/>
        </w:rPr>
        <w:t xml:space="preserve">B2B </w:t>
      </w:r>
      <w:r>
        <w:rPr>
          <w:rFonts w:ascii="Calibri" w:eastAsia="Calibri" w:hAnsi="Calibri" w:cs="Times New Roman"/>
        </w:rPr>
        <w:t xml:space="preserve">claims </w:t>
      </w:r>
      <w:r w:rsidR="005A5650">
        <w:rPr>
          <w:rFonts w:ascii="Calibri" w:eastAsia="Calibri" w:hAnsi="Calibri" w:cs="Times New Roman"/>
        </w:rPr>
        <w:t>(</w:t>
      </w:r>
      <w:r w:rsidR="00C429E7">
        <w:rPr>
          <w:rFonts w:ascii="Calibri" w:eastAsia="Calibri" w:hAnsi="Calibri" w:cs="Times New Roman"/>
        </w:rPr>
        <w:t>C2B</w:t>
      </w:r>
      <w:r>
        <w:rPr>
          <w:rFonts w:ascii="Calibri" w:eastAsia="Calibri" w:hAnsi="Calibri" w:cs="Times New Roman"/>
        </w:rPr>
        <w:t xml:space="preserve"> contract claims are normally covered),</w:t>
      </w:r>
    </w:p>
    <w:p w14:paraId="11478498" w14:textId="4D6231A6" w:rsidR="00C429E7" w:rsidRDefault="00C429E7" w:rsidP="002D694A">
      <w:pPr>
        <w:pStyle w:val="ListParagraph"/>
        <w:numPr>
          <w:ilvl w:val="0"/>
          <w:numId w:val="4"/>
        </w:numPr>
        <w:spacing w:after="200" w:line="276" w:lineRule="auto"/>
        <w:jc w:val="both"/>
        <w:rPr>
          <w:rFonts w:ascii="Calibri" w:eastAsia="Calibri" w:hAnsi="Calibri" w:cs="Times New Roman"/>
        </w:rPr>
      </w:pPr>
      <w:r>
        <w:rPr>
          <w:rFonts w:ascii="Calibri" w:eastAsia="Calibri" w:hAnsi="Calibri" w:cs="Times New Roman"/>
        </w:rPr>
        <w:t>Unjustified enrichment B2B claims,</w:t>
      </w:r>
    </w:p>
    <w:p w14:paraId="5EBD066D" w14:textId="02E3365F" w:rsidR="002D694A" w:rsidRDefault="002D694A" w:rsidP="002D694A">
      <w:pPr>
        <w:pStyle w:val="ListParagraph"/>
        <w:numPr>
          <w:ilvl w:val="0"/>
          <w:numId w:val="4"/>
        </w:numPr>
        <w:spacing w:after="200" w:line="276" w:lineRule="auto"/>
        <w:jc w:val="both"/>
        <w:rPr>
          <w:rFonts w:ascii="Calibri" w:eastAsia="Calibri" w:hAnsi="Calibri" w:cs="Times New Roman"/>
        </w:rPr>
      </w:pPr>
      <w:r>
        <w:rPr>
          <w:rFonts w:ascii="Calibri" w:eastAsia="Calibri" w:hAnsi="Calibri" w:cs="Times New Roman"/>
        </w:rPr>
        <w:t xml:space="preserve">Claims in the areas of environmental protection, competition, IP and </w:t>
      </w:r>
      <w:proofErr w:type="spellStart"/>
      <w:r>
        <w:rPr>
          <w:rFonts w:ascii="Calibri" w:eastAsia="Calibri" w:hAnsi="Calibri" w:cs="Times New Roman"/>
        </w:rPr>
        <w:t>labour</w:t>
      </w:r>
      <w:proofErr w:type="spellEnd"/>
      <w:r>
        <w:rPr>
          <w:rFonts w:ascii="Calibri" w:eastAsia="Calibri" w:hAnsi="Calibri" w:cs="Times New Roman"/>
        </w:rPr>
        <w:t xml:space="preserve"> law that do not involve tort liability,</w:t>
      </w:r>
    </w:p>
    <w:p w14:paraId="7119A4B2" w14:textId="06013A18" w:rsidR="002D694A" w:rsidRPr="002D694A" w:rsidRDefault="002D694A" w:rsidP="002D694A">
      <w:pPr>
        <w:pStyle w:val="ListParagraph"/>
        <w:numPr>
          <w:ilvl w:val="0"/>
          <w:numId w:val="4"/>
        </w:numPr>
        <w:spacing w:after="200" w:line="276" w:lineRule="auto"/>
        <w:jc w:val="both"/>
        <w:rPr>
          <w:rFonts w:ascii="Calibri" w:eastAsia="Calibri" w:hAnsi="Calibri" w:cs="Times New Roman"/>
        </w:rPr>
      </w:pPr>
      <w:r>
        <w:rPr>
          <w:rFonts w:ascii="Calibri" w:eastAsia="Calibri" w:hAnsi="Calibri" w:cs="Times New Roman"/>
        </w:rPr>
        <w:t>Claims concerning protection of personal interests</w:t>
      </w:r>
      <w:r w:rsidR="00FC5E2E">
        <w:rPr>
          <w:rFonts w:ascii="Calibri" w:eastAsia="Calibri" w:hAnsi="Calibri" w:cs="Times New Roman"/>
        </w:rPr>
        <w:t>, whether in consumer cases, product liability or tort liability cases. T</w:t>
      </w:r>
      <w:r>
        <w:rPr>
          <w:rFonts w:ascii="Calibri" w:eastAsia="Calibri" w:hAnsi="Calibri" w:cs="Times New Roman"/>
        </w:rPr>
        <w:t xml:space="preserve">hese include personal injury claims (see below for further analysis). </w:t>
      </w:r>
    </w:p>
    <w:p w14:paraId="4FC2E1CB" w14:textId="0F2A6340" w:rsidR="005A5650" w:rsidRPr="005A5650" w:rsidRDefault="005A5650" w:rsidP="005A5650">
      <w:pPr>
        <w:spacing w:after="200" w:line="276" w:lineRule="auto"/>
        <w:jc w:val="both"/>
        <w:rPr>
          <w:rFonts w:ascii="Calibri" w:eastAsia="Calibri" w:hAnsi="Calibri" w:cs="Times New Roman"/>
        </w:rPr>
      </w:pPr>
      <w:r w:rsidRPr="005A5650">
        <w:rPr>
          <w:rFonts w:asciiTheme="majorHAnsi" w:eastAsia="Calibri" w:hAnsiTheme="majorHAnsi" w:cs="Times New Roman"/>
        </w:rPr>
        <w:t xml:space="preserve">The limited scope of application is one of the most controversial aspects of the new law. </w:t>
      </w:r>
      <w:r w:rsidR="00694AA0">
        <w:rPr>
          <w:rFonts w:ascii="Calibri" w:eastAsia="Calibri" w:hAnsi="Calibri" w:cs="Times New Roman"/>
        </w:rPr>
        <w:t xml:space="preserve">Some lawyers and </w:t>
      </w:r>
      <w:r w:rsidRPr="005A5650">
        <w:rPr>
          <w:rFonts w:ascii="Calibri" w:eastAsia="Calibri" w:hAnsi="Calibri" w:cs="Times New Roman"/>
        </w:rPr>
        <w:t>academic writers expressed views that the scope of application of the Act is overly and unnecessarily limited, and there is a strong feeling that in particular labor law disputes ought to have been included.</w:t>
      </w:r>
      <w:r w:rsidRPr="00A023FF">
        <w:rPr>
          <w:vertAlign w:val="superscript"/>
        </w:rPr>
        <w:footnoteReference w:id="14"/>
      </w:r>
      <w:r w:rsidRPr="005A5650">
        <w:rPr>
          <w:rFonts w:ascii="Calibri" w:eastAsia="Calibri" w:hAnsi="Calibri" w:cs="Times New Roman"/>
        </w:rPr>
        <w:t xml:space="preserve"> Further, it is clear that class actions may not be well suited for certain types of cases: such as complex personal injuries, or product liability cases. Why include tort liability and product liability, but generally exclude </w:t>
      </w:r>
      <w:proofErr w:type="spellStart"/>
      <w:r w:rsidRPr="005A5650">
        <w:rPr>
          <w:rFonts w:ascii="Calibri" w:eastAsia="Calibri" w:hAnsi="Calibri" w:cs="Times New Roman"/>
        </w:rPr>
        <w:t>labour</w:t>
      </w:r>
      <w:proofErr w:type="spellEnd"/>
      <w:r w:rsidRPr="005A5650">
        <w:rPr>
          <w:rFonts w:ascii="Calibri" w:eastAsia="Calibri" w:hAnsi="Calibri" w:cs="Times New Roman"/>
        </w:rPr>
        <w:t xml:space="preserve"> law claims, competition law claims or environmental claims</w:t>
      </w:r>
      <w:r>
        <w:rPr>
          <w:rStyle w:val="FootnoteReference"/>
          <w:rFonts w:ascii="Calibri" w:eastAsia="Calibri" w:hAnsi="Calibri" w:cs="Times New Roman"/>
        </w:rPr>
        <w:footnoteReference w:id="15"/>
      </w:r>
      <w:r w:rsidRPr="005A5650">
        <w:rPr>
          <w:rFonts w:ascii="Calibri" w:eastAsia="Calibri" w:hAnsi="Calibri" w:cs="Times New Roman"/>
        </w:rPr>
        <w:t xml:space="preserve"> that could be a better fit for this mechanism? </w:t>
      </w:r>
      <w:r w:rsidR="00694AA0">
        <w:rPr>
          <w:rFonts w:ascii="Calibri" w:eastAsia="Calibri" w:hAnsi="Calibri" w:cs="Times New Roman"/>
          <w:b/>
        </w:rPr>
        <w:t>Going some way towards responding to the criticisms</w:t>
      </w:r>
      <w:r w:rsidRPr="00800130">
        <w:rPr>
          <w:rFonts w:ascii="Calibri" w:eastAsia="Calibri" w:hAnsi="Calibri" w:cs="Times New Roman"/>
          <w:b/>
        </w:rPr>
        <w:t xml:space="preserve">, the Ministry </w:t>
      </w:r>
      <w:r w:rsidR="00CE1DF7" w:rsidRPr="00800130">
        <w:rPr>
          <w:rFonts w:ascii="Calibri" w:eastAsia="Calibri" w:hAnsi="Calibri" w:cs="Times New Roman"/>
          <w:b/>
        </w:rPr>
        <w:t>for</w:t>
      </w:r>
      <w:r w:rsidRPr="00800130">
        <w:rPr>
          <w:rFonts w:ascii="Calibri" w:eastAsia="Calibri" w:hAnsi="Calibri" w:cs="Times New Roman"/>
          <w:b/>
        </w:rPr>
        <w:t xml:space="preserve"> Development is proposing to include </w:t>
      </w:r>
      <w:r w:rsidR="00A1023B" w:rsidRPr="00800130">
        <w:rPr>
          <w:rFonts w:ascii="Calibri" w:eastAsia="Calibri" w:hAnsi="Calibri" w:cs="Times New Roman"/>
          <w:b/>
        </w:rPr>
        <w:t>B2B claims involving contract liability and unjustified enrichment. No other extension has been proposed at this stage.</w:t>
      </w:r>
      <w:r w:rsidR="00A1023B">
        <w:rPr>
          <w:rFonts w:ascii="Calibri" w:eastAsia="Calibri" w:hAnsi="Calibri" w:cs="Times New Roman"/>
        </w:rPr>
        <w:t xml:space="preserve"> </w:t>
      </w:r>
    </w:p>
    <w:p w14:paraId="3EBAA1C6" w14:textId="3C389EF8" w:rsidR="007F0CE4" w:rsidRDefault="007F0CE4" w:rsidP="00B44787">
      <w:pPr>
        <w:spacing w:after="200" w:line="276" w:lineRule="auto"/>
        <w:jc w:val="both"/>
        <w:rPr>
          <w:rFonts w:ascii="Calibri" w:eastAsia="Calibri" w:hAnsi="Calibri" w:cs="Times New Roman"/>
        </w:rPr>
      </w:pPr>
      <w:r>
        <w:rPr>
          <w:rFonts w:ascii="Calibri" w:eastAsia="Calibri" w:hAnsi="Calibri" w:cs="Times New Roman"/>
        </w:rPr>
        <w:t xml:space="preserve">Another limitation that, in my view, is difficult to justify is the exclusion of claims for the protection of personal interests. </w:t>
      </w:r>
      <w:r w:rsidRPr="00A023FF">
        <w:rPr>
          <w:rFonts w:ascii="Calibri" w:eastAsia="Calibri" w:hAnsi="Calibri" w:cs="Times New Roman"/>
        </w:rPr>
        <w:t xml:space="preserve">This limitation was motivated by the fact that such claims are by their very nature individualized and should be </w:t>
      </w:r>
      <w:r w:rsidR="00341D5C">
        <w:rPr>
          <w:rFonts w:ascii="Calibri" w:eastAsia="Calibri" w:hAnsi="Calibri" w:cs="Times New Roman"/>
        </w:rPr>
        <w:t>pursued</w:t>
      </w:r>
      <w:r w:rsidRPr="00A023FF">
        <w:rPr>
          <w:rFonts w:ascii="Calibri" w:eastAsia="Calibri" w:hAnsi="Calibri" w:cs="Times New Roman"/>
        </w:rPr>
        <w:t xml:space="preserve"> through individual actions in court.</w:t>
      </w:r>
      <w:r w:rsidRPr="00A023FF">
        <w:rPr>
          <w:rFonts w:ascii="Calibri" w:eastAsia="Calibri" w:hAnsi="Calibri" w:cs="Times New Roman"/>
          <w:vertAlign w:val="superscript"/>
        </w:rPr>
        <w:footnoteReference w:id="16"/>
      </w:r>
      <w:r w:rsidRPr="00A023FF">
        <w:rPr>
          <w:rFonts w:ascii="Calibri" w:eastAsia="Calibri" w:hAnsi="Calibri" w:cs="Times New Roman"/>
        </w:rPr>
        <w:t xml:space="preserve"> Personal interests are not defined in Polish law, but they are listed in the Civil Code – health, freedom, dignity and good name, conscience, name, image, correspondence, home, and creative output.</w:t>
      </w:r>
      <w:r w:rsidRPr="00A023FF">
        <w:rPr>
          <w:rFonts w:ascii="Calibri" w:eastAsia="Calibri" w:hAnsi="Calibri" w:cs="Times New Roman"/>
          <w:vertAlign w:val="superscript"/>
        </w:rPr>
        <w:footnoteReference w:id="17"/>
      </w:r>
      <w:r w:rsidRPr="00A023FF">
        <w:rPr>
          <w:rFonts w:ascii="Calibri" w:eastAsia="Calibri" w:hAnsi="Calibri" w:cs="Times New Roman"/>
        </w:rPr>
        <w:t xml:space="preserve"> Academic writers agree that the list is non-exhaustive. Claims for the protection of personal interests can have a pecuniary nature (such as costs of treatment or lost earnings in cases of personal injury) or a non-pecuniary nature (such as pain and suffering). </w:t>
      </w:r>
    </w:p>
    <w:p w14:paraId="75E08680" w14:textId="49D9BBA8" w:rsidR="00B44787" w:rsidRPr="00DB56BE" w:rsidRDefault="00693A1D" w:rsidP="00B44787">
      <w:pPr>
        <w:spacing w:after="200" w:line="276" w:lineRule="auto"/>
        <w:jc w:val="both"/>
        <w:rPr>
          <w:rFonts w:ascii="Calibri" w:eastAsia="Calibri" w:hAnsi="Calibri" w:cs="Times New Roman"/>
          <w:i/>
        </w:rPr>
      </w:pPr>
      <w:r w:rsidRPr="00DB56BE">
        <w:rPr>
          <w:rFonts w:ascii="Calibri" w:eastAsia="Calibri" w:hAnsi="Calibri" w:cs="Times New Roman"/>
          <w:i/>
        </w:rPr>
        <w:t>One of the earliest</w:t>
      </w:r>
      <w:r w:rsidR="002F0099" w:rsidRPr="00DB56BE">
        <w:rPr>
          <w:rFonts w:ascii="Calibri" w:eastAsia="Calibri" w:hAnsi="Calibri" w:cs="Times New Roman"/>
          <w:i/>
        </w:rPr>
        <w:t xml:space="preserve"> </w:t>
      </w:r>
      <w:r w:rsidR="003B0287" w:rsidRPr="00DB56BE">
        <w:rPr>
          <w:rFonts w:ascii="Calibri" w:eastAsia="Calibri" w:hAnsi="Calibri" w:cs="Times New Roman"/>
          <w:i/>
        </w:rPr>
        <w:t xml:space="preserve">class action </w:t>
      </w:r>
      <w:r w:rsidR="002F0099" w:rsidRPr="00DB56BE">
        <w:rPr>
          <w:rFonts w:ascii="Calibri" w:eastAsia="Calibri" w:hAnsi="Calibri" w:cs="Times New Roman"/>
          <w:i/>
        </w:rPr>
        <w:t>case</w:t>
      </w:r>
      <w:r w:rsidRPr="00DB56BE">
        <w:rPr>
          <w:rFonts w:ascii="Calibri" w:eastAsia="Calibri" w:hAnsi="Calibri" w:cs="Times New Roman"/>
          <w:i/>
        </w:rPr>
        <w:t>s</w:t>
      </w:r>
      <w:r w:rsidR="002F0099" w:rsidRPr="00DB56BE">
        <w:rPr>
          <w:rFonts w:ascii="Calibri" w:eastAsia="Calibri" w:hAnsi="Calibri" w:cs="Times New Roman"/>
          <w:i/>
        </w:rPr>
        <w:t xml:space="preserve"> illustrates some of the potential problems and controversies </w:t>
      </w:r>
      <w:r w:rsidR="007F0CE4" w:rsidRPr="00DB56BE">
        <w:rPr>
          <w:rFonts w:ascii="Calibri" w:eastAsia="Calibri" w:hAnsi="Calibri" w:cs="Times New Roman"/>
          <w:i/>
        </w:rPr>
        <w:t>this exclusion</w:t>
      </w:r>
      <w:r w:rsidR="002F0099" w:rsidRPr="00DB56BE">
        <w:rPr>
          <w:rFonts w:ascii="Calibri" w:eastAsia="Calibri" w:hAnsi="Calibri" w:cs="Times New Roman"/>
          <w:i/>
        </w:rPr>
        <w:t xml:space="preserve"> leads to.</w:t>
      </w:r>
      <w:r w:rsidR="003904EF" w:rsidRPr="00DB56BE">
        <w:rPr>
          <w:rFonts w:ascii="Calibri" w:eastAsia="Calibri" w:hAnsi="Calibri" w:cs="Times New Roman"/>
          <w:i/>
        </w:rPr>
        <w:t xml:space="preserve"> </w:t>
      </w:r>
      <w:r w:rsidR="00B44787" w:rsidRPr="00DB56BE">
        <w:rPr>
          <w:rFonts w:ascii="Calibri" w:eastAsia="Calibri" w:hAnsi="Calibri" w:cs="Times New Roman"/>
          <w:i/>
        </w:rPr>
        <w:t>In April 2011, the Warsaw District Court refused to certify a class action of victims of the collapse of the Katowice International Trade Hall.</w:t>
      </w:r>
      <w:r w:rsidR="00B44787" w:rsidRPr="00DB56BE">
        <w:rPr>
          <w:rFonts w:ascii="Calibri" w:eastAsia="Calibri" w:hAnsi="Calibri" w:cs="Times New Roman"/>
          <w:i/>
          <w:vertAlign w:val="superscript"/>
        </w:rPr>
        <w:footnoteReference w:id="18"/>
      </w:r>
      <w:r w:rsidR="00B44787" w:rsidRPr="00DB56BE">
        <w:rPr>
          <w:rFonts w:ascii="Calibri" w:eastAsia="Calibri" w:hAnsi="Calibri" w:cs="Times New Roman"/>
          <w:i/>
        </w:rPr>
        <w:t xml:space="preserve"> In September 2011 the Warsaw Court of Appeal rejected the complaint against this decision, making it final. The District Court interpreted Article 1.2 of the Act as meaning that a class action is admissible only if class members have non-personal claims (in this context: claims </w:t>
      </w:r>
      <w:r w:rsidR="0021326B" w:rsidRPr="00DB56BE">
        <w:rPr>
          <w:rFonts w:ascii="Calibri" w:eastAsia="Calibri" w:hAnsi="Calibri" w:cs="Times New Roman"/>
          <w:i/>
        </w:rPr>
        <w:t>not related to</w:t>
      </w:r>
      <w:r w:rsidR="00B44787" w:rsidRPr="00DB56BE">
        <w:rPr>
          <w:rFonts w:ascii="Calibri" w:eastAsia="Calibri" w:hAnsi="Calibri" w:cs="Times New Roman"/>
          <w:i/>
        </w:rPr>
        <w:t xml:space="preserve"> personal injury or death). The Court held that, as only 5 out of 16 class members had such claims, it was not possible for the class to be certified. The decision confirmed the fears of some academic writers who argued that the exclusion of protection of personal interests unduly limited the use of class actions in the very cases </w:t>
      </w:r>
      <w:r w:rsidR="007F0CE4" w:rsidRPr="00DB56BE">
        <w:rPr>
          <w:rFonts w:ascii="Calibri" w:eastAsia="Calibri" w:hAnsi="Calibri" w:cs="Times New Roman"/>
          <w:i/>
        </w:rPr>
        <w:t>that</w:t>
      </w:r>
      <w:r w:rsidR="00B44787" w:rsidRPr="00DB56BE">
        <w:rPr>
          <w:rFonts w:ascii="Calibri" w:eastAsia="Calibri" w:hAnsi="Calibri" w:cs="Times New Roman"/>
          <w:i/>
        </w:rPr>
        <w:t xml:space="preserve"> the legislator intended to cover – relatively small value personal injury cases. On the other hand, the Court seems to have been open to the possibility of certifying the class by limiting it to those with non-personal claims instead of rejecting the entire suit. In 2012 </w:t>
      </w:r>
      <w:r w:rsidR="00A039EE" w:rsidRPr="00DB56BE">
        <w:rPr>
          <w:rFonts w:ascii="Calibri" w:eastAsia="Calibri" w:hAnsi="Calibri" w:cs="Times New Roman"/>
          <w:i/>
        </w:rPr>
        <w:t>the claimants</w:t>
      </w:r>
      <w:r w:rsidR="00B44787" w:rsidRPr="00DB56BE">
        <w:rPr>
          <w:rFonts w:ascii="Calibri" w:eastAsia="Calibri" w:hAnsi="Calibri" w:cs="Times New Roman"/>
          <w:i/>
        </w:rPr>
        <w:t xml:space="preserve"> in this case brought cassation proceedings before the Supreme Court. The Court refused to consider the cassation.</w:t>
      </w:r>
      <w:r w:rsidR="00B44787" w:rsidRPr="00DB56BE">
        <w:rPr>
          <w:rStyle w:val="FootnoteReference"/>
          <w:rFonts w:ascii="Calibri" w:eastAsia="Calibri" w:hAnsi="Calibri" w:cs="Times New Roman"/>
          <w:i/>
        </w:rPr>
        <w:footnoteReference w:id="19"/>
      </w:r>
      <w:r w:rsidR="00B44787" w:rsidRPr="00DB56BE">
        <w:rPr>
          <w:rFonts w:ascii="Calibri" w:eastAsia="Calibri" w:hAnsi="Calibri" w:cs="Times New Roman"/>
          <w:i/>
        </w:rPr>
        <w:t xml:space="preserve"> </w:t>
      </w:r>
    </w:p>
    <w:p w14:paraId="0746D19F" w14:textId="4E02F182" w:rsidR="003904EF" w:rsidRPr="00A023FF" w:rsidRDefault="003904EF" w:rsidP="00B44787">
      <w:pPr>
        <w:spacing w:after="200" w:line="276" w:lineRule="auto"/>
        <w:jc w:val="both"/>
        <w:rPr>
          <w:rFonts w:ascii="Calibri" w:eastAsia="Calibri" w:hAnsi="Calibri" w:cs="Times New Roman"/>
        </w:rPr>
      </w:pPr>
      <w:r>
        <w:rPr>
          <w:rFonts w:ascii="Calibri" w:eastAsia="Calibri" w:hAnsi="Calibri" w:cs="Times New Roman"/>
        </w:rPr>
        <w:t>In the context of the Class Actions Act</w:t>
      </w:r>
      <w:r w:rsidRPr="00A023FF">
        <w:rPr>
          <w:rFonts w:ascii="Calibri" w:eastAsia="Calibri" w:hAnsi="Calibri" w:cs="Times New Roman"/>
        </w:rPr>
        <w:t xml:space="preserve">, personal interests are key with regard to tort </w:t>
      </w:r>
      <w:proofErr w:type="gramStart"/>
      <w:r w:rsidRPr="00A023FF">
        <w:rPr>
          <w:rFonts w:ascii="Calibri" w:eastAsia="Calibri" w:hAnsi="Calibri" w:cs="Times New Roman"/>
        </w:rPr>
        <w:t>liability</w:t>
      </w:r>
      <w:proofErr w:type="gramEnd"/>
      <w:r w:rsidRPr="00A023FF">
        <w:rPr>
          <w:rFonts w:ascii="Calibri" w:eastAsia="Calibri" w:hAnsi="Calibri" w:cs="Times New Roman"/>
        </w:rPr>
        <w:t xml:space="preserve"> claims and product liability claims, perhaps less so in consumer law </w:t>
      </w:r>
      <w:r w:rsidR="00AC0AA3">
        <w:rPr>
          <w:rFonts w:ascii="Calibri" w:eastAsia="Calibri" w:hAnsi="Calibri" w:cs="Times New Roman"/>
        </w:rPr>
        <w:t xml:space="preserve">where there </w:t>
      </w:r>
      <w:r w:rsidRPr="00A023FF">
        <w:rPr>
          <w:rFonts w:ascii="Calibri" w:eastAsia="Calibri" w:hAnsi="Calibri" w:cs="Times New Roman"/>
        </w:rPr>
        <w:t xml:space="preserve">are more likely to be straightforward monetary claims. Personal injuries, infringements of personal freedom, dignity or name are most common forms of losses in tort or product liability claims. Their exclusion from the scope of the Class Actions Act is therefore difficult to justify. This is particularly problematic with regard to personal injury: if all personal injury claims </w:t>
      </w:r>
      <w:r>
        <w:rPr>
          <w:rFonts w:ascii="Calibri" w:eastAsia="Calibri" w:hAnsi="Calibri" w:cs="Times New Roman"/>
        </w:rPr>
        <w:t xml:space="preserve">are </w:t>
      </w:r>
      <w:r w:rsidRPr="00A023FF">
        <w:rPr>
          <w:rFonts w:ascii="Calibri" w:eastAsia="Calibri" w:hAnsi="Calibri" w:cs="Times New Roman"/>
        </w:rPr>
        <w:t xml:space="preserve">excluded, what indeed </w:t>
      </w:r>
      <w:r>
        <w:rPr>
          <w:rFonts w:ascii="Calibri" w:eastAsia="Calibri" w:hAnsi="Calibri" w:cs="Times New Roman"/>
        </w:rPr>
        <w:t>is</w:t>
      </w:r>
      <w:r w:rsidR="003B0287">
        <w:rPr>
          <w:rFonts w:ascii="Calibri" w:eastAsia="Calibri" w:hAnsi="Calibri" w:cs="Times New Roman"/>
        </w:rPr>
        <w:t xml:space="preserve"> left in the majority of</w:t>
      </w:r>
      <w:r w:rsidRPr="00A023FF">
        <w:rPr>
          <w:rFonts w:ascii="Calibri" w:eastAsia="Calibri" w:hAnsi="Calibri" w:cs="Times New Roman"/>
        </w:rPr>
        <w:t xml:space="preserve"> product liability case</w:t>
      </w:r>
      <w:r>
        <w:rPr>
          <w:rFonts w:ascii="Calibri" w:eastAsia="Calibri" w:hAnsi="Calibri" w:cs="Times New Roman"/>
        </w:rPr>
        <w:t>s</w:t>
      </w:r>
      <w:r w:rsidRPr="00A023FF">
        <w:rPr>
          <w:rFonts w:ascii="Calibri" w:eastAsia="Calibri" w:hAnsi="Calibri" w:cs="Times New Roman"/>
        </w:rPr>
        <w:t xml:space="preserve">? </w:t>
      </w:r>
    </w:p>
    <w:p w14:paraId="030936D7" w14:textId="7398488A" w:rsidR="003904EF" w:rsidRDefault="003904EF" w:rsidP="00B44787">
      <w:pPr>
        <w:spacing w:after="200" w:line="276" w:lineRule="auto"/>
        <w:jc w:val="both"/>
        <w:rPr>
          <w:rFonts w:ascii="Calibri" w:eastAsia="Calibri" w:hAnsi="Calibri" w:cs="Times New Roman"/>
        </w:rPr>
      </w:pPr>
      <w:r w:rsidRPr="00A023FF">
        <w:rPr>
          <w:rFonts w:ascii="Calibri" w:eastAsia="Calibri" w:hAnsi="Calibri" w:cs="Times New Roman"/>
        </w:rPr>
        <w:t>The position in c</w:t>
      </w:r>
      <w:r>
        <w:rPr>
          <w:rFonts w:ascii="Calibri" w:eastAsia="Calibri" w:hAnsi="Calibri" w:cs="Times New Roman"/>
        </w:rPr>
        <w:t>ases where class members</w:t>
      </w:r>
      <w:r w:rsidRPr="00A023FF">
        <w:rPr>
          <w:rFonts w:ascii="Calibri" w:eastAsia="Calibri" w:hAnsi="Calibri" w:cs="Times New Roman"/>
        </w:rPr>
        <w:t xml:space="preserve"> have both personal and non-personal claims remains uncertain. Most likely, class members will need to limit their claims to those of non-personal nature for the purposes of a class action, and seek any other damages in separate, individual actions. </w:t>
      </w:r>
      <w:r w:rsidR="0075739C">
        <w:rPr>
          <w:rFonts w:ascii="Calibri" w:eastAsia="Calibri" w:hAnsi="Calibri" w:cs="Times New Roman"/>
        </w:rPr>
        <w:t>If this is the</w:t>
      </w:r>
      <w:r w:rsidRPr="00A023FF">
        <w:rPr>
          <w:rFonts w:ascii="Calibri" w:eastAsia="Calibri" w:hAnsi="Calibri" w:cs="Times New Roman"/>
        </w:rPr>
        <w:t xml:space="preserve"> case, however, one could question the very purpose of the limitation: would it meet the goal of economic efficiency and greater simplicity to duplicate lawsuits concerning one event?</w:t>
      </w:r>
    </w:p>
    <w:p w14:paraId="367A515B" w14:textId="350DFF63" w:rsidR="002F0099" w:rsidRPr="00A023FF" w:rsidRDefault="003904EF" w:rsidP="00B44787">
      <w:pPr>
        <w:spacing w:after="200" w:line="276" w:lineRule="auto"/>
        <w:jc w:val="both"/>
        <w:rPr>
          <w:rFonts w:ascii="Calibri" w:eastAsia="Calibri" w:hAnsi="Calibri" w:cs="Times New Roman"/>
        </w:rPr>
      </w:pPr>
      <w:r>
        <w:rPr>
          <w:rFonts w:ascii="Calibri" w:eastAsia="Calibri" w:hAnsi="Calibri" w:cs="Times New Roman"/>
        </w:rPr>
        <w:t xml:space="preserve">In spite of very clear dissatisfaction (at the very least on the users’ side) with this limitation, it is unlikely that changes in this regard are forthcoming. </w:t>
      </w:r>
      <w:r w:rsidRPr="00AB1EE2">
        <w:rPr>
          <w:rFonts w:ascii="Calibri" w:eastAsia="Calibri" w:hAnsi="Calibri" w:cs="Times New Roman"/>
        </w:rPr>
        <w:t>Both the letter and the spirit of the Act appear to indicate the intention to deal with straightforward cases where damages are easily quantifiable, and in many cases equal. It is difficult to achieve such a result where a large number of class members suffered various, or even the same types of, infringements of their personal interests.</w:t>
      </w:r>
      <w:r w:rsidR="00CE1DF7">
        <w:rPr>
          <w:rFonts w:ascii="Calibri" w:eastAsia="Calibri" w:hAnsi="Calibri" w:cs="Times New Roman"/>
        </w:rPr>
        <w:t xml:space="preserve"> </w:t>
      </w:r>
      <w:r w:rsidR="00CE1DF7" w:rsidRPr="007B7A85">
        <w:rPr>
          <w:rFonts w:ascii="Calibri" w:eastAsia="Calibri" w:hAnsi="Calibri" w:cs="Times New Roman"/>
          <w:b/>
        </w:rPr>
        <w:t>T</w:t>
      </w:r>
      <w:r w:rsidR="00621282" w:rsidRPr="007B7A85">
        <w:rPr>
          <w:rFonts w:ascii="Calibri" w:eastAsia="Calibri" w:hAnsi="Calibri" w:cs="Times New Roman"/>
          <w:b/>
        </w:rPr>
        <w:t>he proposals coming out of the Ministry for Development do not include a reference to this limitation.</w:t>
      </w:r>
      <w:r w:rsidR="00621282">
        <w:rPr>
          <w:rFonts w:ascii="Calibri" w:eastAsia="Calibri" w:hAnsi="Calibri" w:cs="Times New Roman"/>
        </w:rPr>
        <w:t xml:space="preserve"> </w:t>
      </w:r>
    </w:p>
    <w:p w14:paraId="656E4C1B" w14:textId="61F7D793" w:rsidR="00AB4298" w:rsidRPr="002F0099" w:rsidRDefault="002F0099" w:rsidP="00B44787">
      <w:pPr>
        <w:spacing w:after="200" w:line="276" w:lineRule="auto"/>
        <w:jc w:val="both"/>
        <w:rPr>
          <w:rFonts w:asciiTheme="majorHAnsi" w:eastAsia="Calibri" w:hAnsiTheme="majorHAnsi" w:cs="Times New Roman"/>
          <w:b/>
        </w:rPr>
      </w:pPr>
      <w:r>
        <w:rPr>
          <w:rFonts w:asciiTheme="majorHAnsi" w:eastAsia="Calibri" w:hAnsiTheme="majorHAnsi" w:cs="Times New Roman"/>
          <w:b/>
        </w:rPr>
        <w:t>2. STANDARDISATION REQUIREMENT</w:t>
      </w:r>
      <w:r w:rsidR="003B0287">
        <w:rPr>
          <w:rFonts w:asciiTheme="majorHAnsi" w:eastAsia="Calibri" w:hAnsiTheme="majorHAnsi" w:cs="Times New Roman"/>
          <w:b/>
        </w:rPr>
        <w:t>S</w:t>
      </w:r>
      <w:r>
        <w:rPr>
          <w:rFonts w:asciiTheme="majorHAnsi" w:eastAsia="Calibri" w:hAnsiTheme="majorHAnsi" w:cs="Times New Roman"/>
          <w:b/>
        </w:rPr>
        <w:t xml:space="preserve"> FOR MONETARY CLAIMS:</w:t>
      </w:r>
    </w:p>
    <w:p w14:paraId="3602C8F0" w14:textId="409B6585" w:rsidR="00AB505B" w:rsidRDefault="00AB505B" w:rsidP="00B44787">
      <w:pPr>
        <w:spacing w:after="200" w:line="276" w:lineRule="auto"/>
        <w:jc w:val="both"/>
        <w:rPr>
          <w:rFonts w:asciiTheme="majorHAnsi" w:eastAsia="Calibri" w:hAnsiTheme="majorHAnsi" w:cs="Times New Roman"/>
        </w:rPr>
      </w:pPr>
      <w:r w:rsidRPr="003F284D">
        <w:rPr>
          <w:rFonts w:asciiTheme="majorHAnsi" w:eastAsia="Calibri" w:hAnsiTheme="majorHAnsi" w:cs="Times New Roman"/>
        </w:rPr>
        <w:t xml:space="preserve">The Act includes a very interesting requirement, which </w:t>
      </w:r>
      <w:r w:rsidR="002F0099">
        <w:rPr>
          <w:rFonts w:asciiTheme="majorHAnsi" w:eastAsia="Calibri" w:hAnsiTheme="majorHAnsi" w:cs="Times New Roman"/>
        </w:rPr>
        <w:t xml:space="preserve">may well be </w:t>
      </w:r>
      <w:r w:rsidRPr="003F284D">
        <w:rPr>
          <w:rFonts w:asciiTheme="majorHAnsi" w:eastAsia="Calibri" w:hAnsiTheme="majorHAnsi" w:cs="Times New Roman"/>
        </w:rPr>
        <w:t>unique among other class action models. It is a rather elaborate version of a requirement of commonality present in other systems. If a suit concerns monetary claims, a class action is possible only if the amount claimed by each class member has been made equal with the others (this may be done in sub-classes of at least two people).</w:t>
      </w:r>
      <w:r w:rsidRPr="003F284D">
        <w:rPr>
          <w:rFonts w:asciiTheme="majorHAnsi" w:eastAsia="Calibri" w:hAnsiTheme="majorHAnsi" w:cs="Times New Roman"/>
          <w:vertAlign w:val="superscript"/>
        </w:rPr>
        <w:footnoteReference w:id="20"/>
      </w:r>
      <w:r w:rsidRPr="003F284D">
        <w:rPr>
          <w:rFonts w:asciiTheme="majorHAnsi" w:eastAsia="Calibri" w:hAnsiTheme="majorHAnsi" w:cs="Times New Roman"/>
        </w:rPr>
        <w:t xml:space="preserve"> </w:t>
      </w:r>
    </w:p>
    <w:p w14:paraId="3A11CECC" w14:textId="4EBF0ACD" w:rsidR="00770B18" w:rsidRPr="0076430C" w:rsidRDefault="00770B18" w:rsidP="00770B18">
      <w:pPr>
        <w:spacing w:after="200" w:line="276" w:lineRule="auto"/>
        <w:jc w:val="both"/>
        <w:rPr>
          <w:rFonts w:ascii="Calibri" w:eastAsia="Calibri" w:hAnsi="Calibri" w:cs="Times New Roman"/>
        </w:rPr>
      </w:pPr>
      <w:r>
        <w:rPr>
          <w:rFonts w:ascii="Calibri" w:eastAsia="Calibri" w:hAnsi="Calibri" w:cs="Times New Roman"/>
        </w:rPr>
        <w:t>W</w:t>
      </w:r>
      <w:r w:rsidRPr="0076430C">
        <w:rPr>
          <w:rFonts w:ascii="Calibri" w:eastAsia="Calibri" w:hAnsi="Calibri" w:cs="Times New Roman"/>
        </w:rPr>
        <w:t xml:space="preserve">hat is happening in reaction to this limitation may well be exactly what the drafters of the Act intended. If a case involves class members with </w:t>
      </w:r>
      <w:r>
        <w:rPr>
          <w:rFonts w:ascii="Calibri" w:eastAsia="Calibri" w:hAnsi="Calibri" w:cs="Times New Roman"/>
        </w:rPr>
        <w:t xml:space="preserve">different </w:t>
      </w:r>
      <w:r w:rsidRPr="0076430C">
        <w:rPr>
          <w:rFonts w:ascii="Calibri" w:eastAsia="Calibri" w:hAnsi="Calibri" w:cs="Times New Roman"/>
        </w:rPr>
        <w:t>levels of damages caused by the same or similar event, the requirement is circumvented. Lawyers representing class members report that they advise them to</w:t>
      </w:r>
      <w:r>
        <w:rPr>
          <w:rFonts w:ascii="Calibri" w:eastAsia="Calibri" w:hAnsi="Calibri" w:cs="Times New Roman"/>
        </w:rPr>
        <w:t xml:space="preserve"> limit the claim to declaratory relief </w:t>
      </w:r>
      <w:r w:rsidRPr="0076430C">
        <w:rPr>
          <w:rFonts w:ascii="Calibri" w:eastAsia="Calibri" w:hAnsi="Calibri" w:cs="Times New Roman"/>
        </w:rPr>
        <w:t>only. This option is expressly allowed by the Act (Article 2.3)</w:t>
      </w:r>
      <w:r w:rsidR="00E81A55">
        <w:rPr>
          <w:rFonts w:ascii="Calibri" w:eastAsia="Calibri" w:hAnsi="Calibri" w:cs="Times New Roman"/>
        </w:rPr>
        <w:t xml:space="preserve">: in </w:t>
      </w:r>
      <w:r w:rsidR="00E81A55" w:rsidRPr="003F284D">
        <w:rPr>
          <w:rFonts w:asciiTheme="majorHAnsi" w:eastAsia="Calibri" w:hAnsiTheme="majorHAnsi" w:cs="Times New Roman"/>
        </w:rPr>
        <w:t>cases involving monetary claims the suit may be limited to a mere declaratory relief, and then followed by individual lawsuits.</w:t>
      </w:r>
      <w:r w:rsidR="00E81A55" w:rsidRPr="003F284D">
        <w:rPr>
          <w:rFonts w:asciiTheme="majorHAnsi" w:eastAsia="Calibri" w:hAnsiTheme="majorHAnsi" w:cs="Times New Roman"/>
          <w:vertAlign w:val="superscript"/>
        </w:rPr>
        <w:footnoteReference w:id="21"/>
      </w:r>
      <w:r w:rsidR="00E81A55">
        <w:rPr>
          <w:rFonts w:asciiTheme="majorHAnsi" w:eastAsia="Calibri" w:hAnsiTheme="majorHAnsi" w:cs="Times New Roman"/>
        </w:rPr>
        <w:t xml:space="preserve"> </w:t>
      </w:r>
      <w:r w:rsidRPr="0076430C">
        <w:rPr>
          <w:rFonts w:ascii="Calibri" w:eastAsia="Calibri" w:hAnsi="Calibri" w:cs="Times New Roman"/>
        </w:rPr>
        <w:t xml:space="preserve">Indeed, a large law firm based in </w:t>
      </w:r>
      <w:proofErr w:type="spellStart"/>
      <w:r w:rsidRPr="0076430C">
        <w:rPr>
          <w:rFonts w:ascii="Calibri" w:eastAsia="Calibri" w:hAnsi="Calibri" w:cs="Times New Roman"/>
        </w:rPr>
        <w:t>Kraków</w:t>
      </w:r>
      <w:proofErr w:type="spellEnd"/>
      <w:r w:rsidRPr="0076430C">
        <w:rPr>
          <w:rFonts w:ascii="Calibri" w:eastAsia="Calibri" w:hAnsi="Calibri" w:cs="Times New Roman"/>
        </w:rPr>
        <w:t xml:space="preserve"> (Kos, </w:t>
      </w:r>
      <w:proofErr w:type="spellStart"/>
      <w:r w:rsidRPr="0076430C">
        <w:rPr>
          <w:rFonts w:ascii="Calibri" w:eastAsia="Calibri" w:hAnsi="Calibri" w:cs="Times New Roman"/>
        </w:rPr>
        <w:t>Kubas</w:t>
      </w:r>
      <w:proofErr w:type="spellEnd"/>
      <w:r w:rsidRPr="0076430C">
        <w:rPr>
          <w:rFonts w:ascii="Calibri" w:eastAsia="Calibri" w:hAnsi="Calibri" w:cs="Times New Roman"/>
        </w:rPr>
        <w:t xml:space="preserve"> &amp; </w:t>
      </w:r>
      <w:proofErr w:type="spellStart"/>
      <w:r w:rsidRPr="0076430C">
        <w:rPr>
          <w:rFonts w:ascii="Calibri" w:eastAsia="Calibri" w:hAnsi="Calibri" w:cs="Times New Roman"/>
        </w:rPr>
        <w:t>Gaertner</w:t>
      </w:r>
      <w:proofErr w:type="spellEnd"/>
      <w:r w:rsidRPr="0076430C">
        <w:rPr>
          <w:rFonts w:ascii="Calibri" w:eastAsia="Calibri" w:hAnsi="Calibri" w:cs="Times New Roman"/>
        </w:rPr>
        <w:t xml:space="preserve"> (KKG)) representing class members in a number of suits reported that this was done in at least three cases. </w:t>
      </w:r>
    </w:p>
    <w:p w14:paraId="58373A28" w14:textId="38980184" w:rsidR="00770B18" w:rsidRPr="00DB56BE" w:rsidRDefault="00770B18" w:rsidP="00770B18">
      <w:pPr>
        <w:spacing w:after="200" w:line="276" w:lineRule="auto"/>
        <w:jc w:val="both"/>
        <w:rPr>
          <w:rFonts w:ascii="Calibri" w:eastAsia="Calibri" w:hAnsi="Calibri" w:cs="Times New Roman"/>
          <w:i/>
        </w:rPr>
      </w:pPr>
      <w:r w:rsidRPr="00DB56BE">
        <w:rPr>
          <w:rFonts w:ascii="Calibri" w:eastAsia="Calibri" w:hAnsi="Calibri" w:cs="Times New Roman"/>
          <w:i/>
        </w:rPr>
        <w:t xml:space="preserve">The first case concerns flood victims and was brought against the public authorities whose duty it was to maintain flood defences in the </w:t>
      </w:r>
      <w:proofErr w:type="spellStart"/>
      <w:r w:rsidRPr="00DB56BE">
        <w:rPr>
          <w:rFonts w:ascii="Calibri" w:eastAsia="Calibri" w:hAnsi="Calibri" w:cs="Times New Roman"/>
          <w:i/>
        </w:rPr>
        <w:t>Sandomierz</w:t>
      </w:r>
      <w:proofErr w:type="spellEnd"/>
      <w:r w:rsidRPr="00DB56BE">
        <w:rPr>
          <w:rFonts w:ascii="Calibri" w:eastAsia="Calibri" w:hAnsi="Calibri" w:cs="Times New Roman"/>
          <w:i/>
        </w:rPr>
        <w:t xml:space="preserve"> area.</w:t>
      </w:r>
      <w:r w:rsidRPr="00DB56BE">
        <w:rPr>
          <w:rFonts w:ascii="Calibri" w:eastAsia="Calibri" w:hAnsi="Calibri" w:cs="Times New Roman"/>
          <w:i/>
          <w:vertAlign w:val="superscript"/>
        </w:rPr>
        <w:footnoteReference w:id="22"/>
      </w:r>
      <w:r w:rsidRPr="00DB56BE">
        <w:rPr>
          <w:rFonts w:ascii="Calibri" w:eastAsia="Calibri" w:hAnsi="Calibri" w:cs="Times New Roman"/>
          <w:i/>
        </w:rPr>
        <w:t xml:space="preserve"> This was indeed one of the first class actions brought in Poland (1</w:t>
      </w:r>
      <w:r w:rsidRPr="00DB56BE">
        <w:rPr>
          <w:rFonts w:ascii="Calibri" w:eastAsia="Calibri" w:hAnsi="Calibri" w:cs="Times New Roman"/>
          <w:i/>
          <w:vertAlign w:val="superscript"/>
        </w:rPr>
        <w:t>st</w:t>
      </w:r>
      <w:r w:rsidRPr="00DB56BE">
        <w:rPr>
          <w:rFonts w:ascii="Calibri" w:eastAsia="Calibri" w:hAnsi="Calibri" w:cs="Times New Roman"/>
          <w:i/>
        </w:rPr>
        <w:t xml:space="preserve"> September 2010). Initially the 17 class members’ claims amounted to the sum of exceeding 9 million PLN.</w:t>
      </w:r>
      <w:r w:rsidRPr="00DB56BE">
        <w:rPr>
          <w:rFonts w:ascii="Calibri" w:eastAsia="Calibri" w:hAnsi="Calibri" w:cs="Times New Roman"/>
          <w:i/>
          <w:vertAlign w:val="superscript"/>
        </w:rPr>
        <w:footnoteReference w:id="23"/>
      </w:r>
      <w:r w:rsidRPr="00DB56BE">
        <w:rPr>
          <w:rFonts w:ascii="Calibri" w:eastAsia="Calibri" w:hAnsi="Calibri" w:cs="Times New Roman"/>
          <w:i/>
        </w:rPr>
        <w:t xml:space="preserve"> The class was divided into sub-classes: one claiming 100.000 PLN, another 400.000 PLN, another 600.000 PLN, and yet another: 1 million PLN. However, the issue of certification of the class ended up in the Court of </w:t>
      </w:r>
      <w:proofErr w:type="gramStart"/>
      <w:r w:rsidRPr="00DB56BE">
        <w:rPr>
          <w:rFonts w:ascii="Calibri" w:eastAsia="Calibri" w:hAnsi="Calibri" w:cs="Times New Roman"/>
          <w:i/>
        </w:rPr>
        <w:t>Appeal which demanded that</w:t>
      </w:r>
      <w:proofErr w:type="gramEnd"/>
      <w:r w:rsidRPr="00DB56BE">
        <w:rPr>
          <w:rFonts w:ascii="Calibri" w:eastAsia="Calibri" w:hAnsi="Calibri" w:cs="Times New Roman"/>
          <w:i/>
        </w:rPr>
        <w:t xml:space="preserve"> the quantification of damages and specification of sub-classes be more precise. Following this direction from the Court of Appeal (2011) the lawyers and the class representative decided to change the claim to a mere declaratory relief. The barrister leading the case (</w:t>
      </w:r>
      <w:proofErr w:type="spellStart"/>
      <w:r w:rsidRPr="00DB56BE">
        <w:rPr>
          <w:rFonts w:ascii="Calibri" w:eastAsia="Calibri" w:hAnsi="Calibri" w:cs="Times New Roman"/>
          <w:i/>
        </w:rPr>
        <w:t>Mec</w:t>
      </w:r>
      <w:proofErr w:type="spellEnd"/>
      <w:r w:rsidRPr="00DB56BE">
        <w:rPr>
          <w:rFonts w:ascii="Calibri" w:eastAsia="Calibri" w:hAnsi="Calibri" w:cs="Times New Roman"/>
          <w:i/>
        </w:rPr>
        <w:t xml:space="preserve">. </w:t>
      </w:r>
      <w:proofErr w:type="spellStart"/>
      <w:r w:rsidRPr="00DB56BE">
        <w:rPr>
          <w:rFonts w:ascii="Calibri" w:eastAsia="Calibri" w:hAnsi="Calibri" w:cs="Times New Roman"/>
          <w:i/>
        </w:rPr>
        <w:t>Agnieszka</w:t>
      </w:r>
      <w:proofErr w:type="spellEnd"/>
      <w:r w:rsidRPr="00DB56BE">
        <w:rPr>
          <w:rFonts w:ascii="Calibri" w:eastAsia="Calibri" w:hAnsi="Calibri" w:cs="Times New Roman"/>
          <w:i/>
        </w:rPr>
        <w:t xml:space="preserve"> </w:t>
      </w:r>
      <w:proofErr w:type="spellStart"/>
      <w:r w:rsidRPr="00DB56BE">
        <w:rPr>
          <w:rFonts w:ascii="Calibri" w:eastAsia="Calibri" w:hAnsi="Calibri" w:cs="Times New Roman"/>
          <w:i/>
        </w:rPr>
        <w:t>Trzaska</w:t>
      </w:r>
      <w:proofErr w:type="spellEnd"/>
      <w:r w:rsidRPr="00DB56BE">
        <w:rPr>
          <w:rFonts w:ascii="Calibri" w:eastAsia="Calibri" w:hAnsi="Calibri" w:cs="Times New Roman"/>
          <w:i/>
        </w:rPr>
        <w:t>) reported that it was very difficult to quantify the claims as per the Court of Appeal’s request. There is no doubt that each victim’s losses were different, and grouping them in some larger sub-classes would be extremely challenging. The class was certified in September 2012, and the court set the time limit for opting in to be 6</w:t>
      </w:r>
      <w:r w:rsidRPr="00DB56BE">
        <w:rPr>
          <w:rFonts w:ascii="Calibri" w:eastAsia="Calibri" w:hAnsi="Calibri" w:cs="Times New Roman"/>
          <w:i/>
          <w:vertAlign w:val="superscript"/>
        </w:rPr>
        <w:t>th</w:t>
      </w:r>
      <w:r w:rsidRPr="00DB56BE">
        <w:rPr>
          <w:rFonts w:ascii="Calibri" w:eastAsia="Calibri" w:hAnsi="Calibri" w:cs="Times New Roman"/>
          <w:i/>
        </w:rPr>
        <w:t xml:space="preserve"> March 2013. There were around 300 victims (physical and legal persons), </w:t>
      </w:r>
      <w:r w:rsidR="00DB56BE">
        <w:rPr>
          <w:rFonts w:ascii="Calibri" w:eastAsia="Calibri" w:hAnsi="Calibri" w:cs="Times New Roman"/>
          <w:i/>
        </w:rPr>
        <w:t>and yet not</w:t>
      </w:r>
      <w:r w:rsidRPr="00DB56BE">
        <w:rPr>
          <w:rFonts w:ascii="Calibri" w:eastAsia="Calibri" w:hAnsi="Calibri" w:cs="Times New Roman"/>
          <w:i/>
        </w:rPr>
        <w:t xml:space="preserve"> all of them joined the class. In September 2013 the district court of Krakow fin</w:t>
      </w:r>
      <w:r w:rsidR="00E916C5" w:rsidRPr="00DB56BE">
        <w:rPr>
          <w:rFonts w:ascii="Calibri" w:eastAsia="Calibri" w:hAnsi="Calibri" w:cs="Times New Roman"/>
          <w:i/>
        </w:rPr>
        <w:t>alized the class, which consisted</w:t>
      </w:r>
      <w:r w:rsidRPr="00DB56BE">
        <w:rPr>
          <w:rFonts w:ascii="Calibri" w:eastAsia="Calibri" w:hAnsi="Calibri" w:cs="Times New Roman"/>
          <w:i/>
        </w:rPr>
        <w:t xml:space="preserve"> of 27 members: physical and legal persons, with claims valued at 17,3 million PLN.</w:t>
      </w:r>
      <w:r w:rsidRPr="00DB56BE">
        <w:rPr>
          <w:rStyle w:val="FootnoteReference"/>
          <w:rFonts w:ascii="Calibri" w:eastAsia="Calibri" w:hAnsi="Calibri" w:cs="Times New Roman"/>
          <w:i/>
        </w:rPr>
        <w:footnoteReference w:id="24"/>
      </w:r>
      <w:r w:rsidR="00DB56BE">
        <w:rPr>
          <w:rFonts w:ascii="Calibri" w:eastAsia="Calibri" w:hAnsi="Calibri" w:cs="Times New Roman"/>
          <w:i/>
        </w:rPr>
        <w:t xml:space="preserve"> The class won the case. </w:t>
      </w:r>
    </w:p>
    <w:p w14:paraId="59BEE666" w14:textId="0A6E50D3" w:rsidR="00770B18" w:rsidRPr="00A023FF" w:rsidRDefault="00770B18" w:rsidP="00770B18">
      <w:pPr>
        <w:spacing w:after="200" w:line="276" w:lineRule="auto"/>
        <w:jc w:val="both"/>
        <w:rPr>
          <w:rFonts w:ascii="Calibri" w:eastAsia="Calibri" w:hAnsi="Calibri" w:cs="Times New Roman"/>
        </w:rPr>
      </w:pPr>
      <w:r w:rsidRPr="00A023FF">
        <w:rPr>
          <w:rFonts w:ascii="Calibri" w:eastAsia="Calibri" w:hAnsi="Calibri" w:cs="Times New Roman"/>
        </w:rPr>
        <w:t>Following the experience of this first case, KKG decided to opt for limiting claims to declaratory relief straight away in the further two class</w:t>
      </w:r>
      <w:r w:rsidR="00E916C5">
        <w:rPr>
          <w:rFonts w:ascii="Calibri" w:eastAsia="Calibri" w:hAnsi="Calibri" w:cs="Times New Roman"/>
        </w:rPr>
        <w:t xml:space="preserve"> actions. </w:t>
      </w:r>
      <w:r w:rsidR="00E916C5" w:rsidRPr="00DB56BE">
        <w:rPr>
          <w:rFonts w:ascii="Calibri" w:eastAsia="Calibri" w:hAnsi="Calibri" w:cs="Times New Roman"/>
          <w:i/>
        </w:rPr>
        <w:t>The first one concerned</w:t>
      </w:r>
      <w:r w:rsidRPr="00DB56BE">
        <w:rPr>
          <w:rFonts w:ascii="Calibri" w:eastAsia="Calibri" w:hAnsi="Calibri" w:cs="Times New Roman"/>
          <w:i/>
        </w:rPr>
        <w:t xml:space="preserve"> 19 small business owners who claim they suffered losses by being misinformed by ZUS (the Office for Social Insurance). They had been initially informed that when they officially suspended business their obligation to pay social insurance contributions with respect to the business would be suspended too. ZUS changed its interpretation of law after some time and demanded back payments with int</w:t>
      </w:r>
      <w:r w:rsidR="00E916C5" w:rsidRPr="00DB56BE">
        <w:rPr>
          <w:rFonts w:ascii="Calibri" w:eastAsia="Calibri" w:hAnsi="Calibri" w:cs="Times New Roman"/>
          <w:i/>
        </w:rPr>
        <w:t xml:space="preserve">erest. The second case involved </w:t>
      </w:r>
      <w:r w:rsidRPr="00DB56BE">
        <w:rPr>
          <w:rFonts w:ascii="Calibri" w:eastAsia="Calibri" w:hAnsi="Calibri" w:cs="Times New Roman"/>
          <w:i/>
        </w:rPr>
        <w:t>victims of flood, this time in another region of Poland (</w:t>
      </w:r>
      <w:proofErr w:type="spellStart"/>
      <w:r w:rsidRPr="00DB56BE">
        <w:rPr>
          <w:rFonts w:ascii="Calibri" w:eastAsia="Calibri" w:hAnsi="Calibri" w:cs="Times New Roman"/>
          <w:i/>
        </w:rPr>
        <w:t>Płock</w:t>
      </w:r>
      <w:proofErr w:type="spellEnd"/>
      <w:r w:rsidRPr="00DB56BE">
        <w:rPr>
          <w:rFonts w:ascii="Calibri" w:eastAsia="Calibri" w:hAnsi="Calibri" w:cs="Times New Roman"/>
          <w:i/>
        </w:rPr>
        <w:t xml:space="preserve">), suing public authorities for neglect in management and supervision of flood defences. </w:t>
      </w:r>
    </w:p>
    <w:p w14:paraId="0B99B70B" w14:textId="330AF830" w:rsidR="00770B18" w:rsidRDefault="00770B18" w:rsidP="00770B18">
      <w:pPr>
        <w:spacing w:after="200" w:line="276" w:lineRule="auto"/>
        <w:jc w:val="both"/>
        <w:rPr>
          <w:rFonts w:ascii="Calibri" w:eastAsia="Calibri" w:hAnsi="Calibri" w:cs="Times New Roman"/>
        </w:rPr>
      </w:pPr>
      <w:r w:rsidRPr="00A023FF">
        <w:rPr>
          <w:rFonts w:ascii="Calibri" w:eastAsia="Calibri" w:hAnsi="Calibri" w:cs="Times New Roman"/>
        </w:rPr>
        <w:t>In an interview</w:t>
      </w:r>
      <w:r w:rsidR="00F83117">
        <w:rPr>
          <w:rFonts w:ascii="Calibri" w:eastAsia="Calibri" w:hAnsi="Calibri" w:cs="Times New Roman"/>
        </w:rPr>
        <w:t xml:space="preserve">, </w:t>
      </w:r>
      <w:r w:rsidRPr="00A023FF">
        <w:rPr>
          <w:rFonts w:ascii="Calibri" w:eastAsia="Calibri" w:hAnsi="Calibri" w:cs="Times New Roman"/>
        </w:rPr>
        <w:t xml:space="preserve">one of the partners of KKG – Professor </w:t>
      </w:r>
      <w:proofErr w:type="spellStart"/>
      <w:r w:rsidRPr="00A023FF">
        <w:rPr>
          <w:rFonts w:ascii="Calibri" w:eastAsia="Calibri" w:hAnsi="Calibri" w:cs="Times New Roman"/>
        </w:rPr>
        <w:t>Kubas</w:t>
      </w:r>
      <w:proofErr w:type="spellEnd"/>
      <w:r w:rsidRPr="00A023FF">
        <w:rPr>
          <w:rFonts w:ascii="Calibri" w:eastAsia="Calibri" w:hAnsi="Calibri" w:cs="Times New Roman"/>
        </w:rPr>
        <w:t xml:space="preserve"> referred to the possibility of bringing a declaratory relief suit as a measure </w:t>
      </w:r>
      <w:r w:rsidR="00E916C5">
        <w:rPr>
          <w:rFonts w:ascii="Calibri" w:eastAsia="Calibri" w:hAnsi="Calibri" w:cs="Times New Roman"/>
        </w:rPr>
        <w:t>that</w:t>
      </w:r>
      <w:r w:rsidRPr="00A023FF">
        <w:rPr>
          <w:rFonts w:ascii="Calibri" w:eastAsia="Calibri" w:hAnsi="Calibri" w:cs="Times New Roman"/>
        </w:rPr>
        <w:t xml:space="preserve"> ‘saves’ the Act’s utility in many ordinary cases. His view was that in most cases involving monetary claims, instead of attempting to convince their clients to limit their claims to some extent, his law firm would opt for declaratory relief and plan to follow it with individual claims. Such individual claims can overcome two drawbacks of the Class Actions Act. First of all, they allow each person to claim the amount they are owed as opposed to limiting it to that of the class or subclass member with the lowest claim. The second drawback concerns the exclusion of personal interests from the scope of the Act. Provided that class members have personal as well as non-personal claims, they will most likely need to limit their class action claims to non-per</w:t>
      </w:r>
      <w:r>
        <w:rPr>
          <w:rFonts w:ascii="Calibri" w:eastAsia="Calibri" w:hAnsi="Calibri" w:cs="Times New Roman"/>
        </w:rPr>
        <w:t>sonal claims only. However, the</w:t>
      </w:r>
      <w:r w:rsidRPr="00A023FF">
        <w:rPr>
          <w:rFonts w:ascii="Calibri" w:eastAsia="Calibri" w:hAnsi="Calibri" w:cs="Times New Roman"/>
        </w:rPr>
        <w:t xml:space="preserve"> declaratory relief can assist them in later individual litigation concerning all losses, both in terms of personal interests and other monetary damages.</w:t>
      </w:r>
      <w:r>
        <w:rPr>
          <w:rFonts w:ascii="Calibri" w:eastAsia="Calibri" w:hAnsi="Calibri" w:cs="Times New Roman"/>
        </w:rPr>
        <w:t xml:space="preserve"> </w:t>
      </w:r>
    </w:p>
    <w:p w14:paraId="40EEDFA9" w14:textId="77777777" w:rsidR="00D5365A" w:rsidRPr="00DB56BE" w:rsidRDefault="00770B18" w:rsidP="00D5365A">
      <w:pPr>
        <w:pBdr>
          <w:bottom w:val="single" w:sz="4" w:space="1" w:color="auto"/>
        </w:pBdr>
        <w:spacing w:after="200" w:line="276" w:lineRule="auto"/>
        <w:jc w:val="both"/>
        <w:rPr>
          <w:rFonts w:ascii="Calibri" w:eastAsia="Calibri" w:hAnsi="Calibri" w:cs="Times New Roman"/>
          <w:i/>
        </w:rPr>
      </w:pPr>
      <w:r w:rsidRPr="00DB56BE">
        <w:rPr>
          <w:rFonts w:ascii="Calibri" w:eastAsia="Calibri" w:hAnsi="Calibri" w:cs="Times New Roman"/>
          <w:i/>
        </w:rPr>
        <w:t>These sentiments were reflected in a decision of the district court of Lodz in a class action brought by the Regional Consumer Ombudsman for Warsaw against BRE-Bank (</w:t>
      </w:r>
      <w:r w:rsidR="00E916C5" w:rsidRPr="00DB56BE">
        <w:rPr>
          <w:rFonts w:ascii="Calibri" w:eastAsia="Calibri" w:hAnsi="Calibri" w:cs="Times New Roman"/>
          <w:i/>
        </w:rPr>
        <w:t xml:space="preserve">now </w:t>
      </w:r>
      <w:proofErr w:type="spellStart"/>
      <w:r w:rsidRPr="00DB56BE">
        <w:rPr>
          <w:rFonts w:ascii="Calibri" w:eastAsia="Calibri" w:hAnsi="Calibri" w:cs="Times New Roman"/>
          <w:i/>
        </w:rPr>
        <w:t>MBank</w:t>
      </w:r>
      <w:proofErr w:type="spellEnd"/>
      <w:r w:rsidRPr="00DB56BE">
        <w:rPr>
          <w:rFonts w:ascii="Calibri" w:eastAsia="Calibri" w:hAnsi="Calibri" w:cs="Times New Roman"/>
          <w:i/>
        </w:rPr>
        <w:t>). The Court decided for the class (3</w:t>
      </w:r>
      <w:r w:rsidRPr="00DB56BE">
        <w:rPr>
          <w:rFonts w:ascii="Calibri" w:eastAsia="Calibri" w:hAnsi="Calibri" w:cs="Times New Roman"/>
          <w:i/>
          <w:vertAlign w:val="superscript"/>
        </w:rPr>
        <w:t>rd</w:t>
      </w:r>
      <w:r w:rsidRPr="00DB56BE">
        <w:rPr>
          <w:rFonts w:ascii="Calibri" w:eastAsia="Calibri" w:hAnsi="Calibri" w:cs="Times New Roman"/>
          <w:i/>
        </w:rPr>
        <w:t xml:space="preserve"> July 2013). It confirmed that the Bank used an unfair clause in mortgage contracts </w:t>
      </w:r>
      <w:r w:rsidR="00E916C5" w:rsidRPr="00DB56BE">
        <w:rPr>
          <w:rFonts w:ascii="Calibri" w:eastAsia="Calibri" w:hAnsi="Calibri" w:cs="Times New Roman"/>
          <w:i/>
        </w:rPr>
        <w:t>that</w:t>
      </w:r>
      <w:r w:rsidRPr="00DB56BE">
        <w:rPr>
          <w:rFonts w:ascii="Calibri" w:eastAsia="Calibri" w:hAnsi="Calibri" w:cs="Times New Roman"/>
          <w:i/>
        </w:rPr>
        <w:t xml:space="preserve"> resulted in the class members overpaying the interest on their mortgages. The </w:t>
      </w:r>
      <w:r w:rsidR="00E916C5" w:rsidRPr="00DB56BE">
        <w:rPr>
          <w:rFonts w:ascii="Calibri" w:eastAsia="Calibri" w:hAnsi="Calibri" w:cs="Times New Roman"/>
          <w:i/>
        </w:rPr>
        <w:t>justification</w:t>
      </w:r>
      <w:r w:rsidRPr="00DB56BE">
        <w:rPr>
          <w:rFonts w:ascii="Calibri" w:eastAsia="Calibri" w:hAnsi="Calibri" w:cs="Times New Roman"/>
          <w:i/>
        </w:rPr>
        <w:t xml:space="preserve"> of the decision provided by the court contains a statement that one of its aims should be facilitating individual actions of class members against the Bank to recover the amounts overpaid, as well as possibly enticing the parties to settle with no need for further litigation.</w:t>
      </w:r>
      <w:r w:rsidRPr="00DB56BE">
        <w:rPr>
          <w:rStyle w:val="FootnoteReference"/>
          <w:rFonts w:ascii="Calibri" w:eastAsia="Calibri" w:hAnsi="Calibri" w:cs="Times New Roman"/>
          <w:i/>
        </w:rPr>
        <w:footnoteReference w:id="25"/>
      </w:r>
    </w:p>
    <w:p w14:paraId="5D9F964B" w14:textId="29EEAFBA" w:rsidR="00D5365A" w:rsidRPr="00DB56BE" w:rsidRDefault="00D5365A" w:rsidP="003D70EE">
      <w:pPr>
        <w:pBdr>
          <w:bottom w:val="single" w:sz="4" w:space="1" w:color="auto"/>
        </w:pBdr>
        <w:spacing w:after="200" w:line="276" w:lineRule="auto"/>
        <w:jc w:val="both"/>
        <w:rPr>
          <w:rFonts w:ascii="Calibri" w:eastAsia="Calibri" w:hAnsi="Calibri" w:cs="Times New Roman"/>
          <w:i/>
        </w:rPr>
      </w:pPr>
      <w:r w:rsidRPr="0076430C">
        <w:rPr>
          <w:rFonts w:ascii="Calibri" w:eastAsia="Calibri" w:hAnsi="Calibri" w:cs="Times New Roman"/>
        </w:rPr>
        <w:t>Cases wher</w:t>
      </w:r>
      <w:r>
        <w:rPr>
          <w:rFonts w:ascii="Calibri" w:eastAsia="Calibri" w:hAnsi="Calibri" w:cs="Times New Roman"/>
        </w:rPr>
        <w:t xml:space="preserve">e class members do </w:t>
      </w:r>
      <w:r w:rsidRPr="0076430C">
        <w:rPr>
          <w:rFonts w:ascii="Calibri" w:eastAsia="Calibri" w:hAnsi="Calibri" w:cs="Times New Roman"/>
        </w:rPr>
        <w:t>standardize claims still appear in courts</w:t>
      </w:r>
      <w:r w:rsidR="00F83117">
        <w:rPr>
          <w:rFonts w:ascii="Calibri" w:eastAsia="Calibri" w:hAnsi="Calibri" w:cs="Times New Roman"/>
        </w:rPr>
        <w:t>. These are</w:t>
      </w:r>
      <w:r>
        <w:rPr>
          <w:rFonts w:ascii="Calibri" w:eastAsia="Calibri" w:hAnsi="Calibri" w:cs="Times New Roman"/>
        </w:rPr>
        <w:t xml:space="preserve"> cases</w:t>
      </w:r>
      <w:r w:rsidRPr="0076430C">
        <w:rPr>
          <w:rFonts w:ascii="Calibri" w:eastAsia="Calibri" w:hAnsi="Calibri" w:cs="Times New Roman"/>
        </w:rPr>
        <w:t xml:space="preserve"> straightforward enough for such standardization. </w:t>
      </w:r>
      <w:r w:rsidRPr="00DB56BE">
        <w:rPr>
          <w:rFonts w:ascii="Calibri" w:eastAsia="Calibri" w:hAnsi="Calibri" w:cs="Times New Roman"/>
          <w:i/>
        </w:rPr>
        <w:t>An example is a relatively recent, illustrious case against an investment company. Amber Gold invested in gold and some other commodities and, promising returns exceeding 10%, had thousands of investors including politicians, celebrities, and many ordinary people. It operated since 2009</w:t>
      </w:r>
      <w:r w:rsidR="00F83117" w:rsidRPr="00DB56BE">
        <w:rPr>
          <w:rFonts w:ascii="Calibri" w:eastAsia="Calibri" w:hAnsi="Calibri" w:cs="Times New Roman"/>
          <w:i/>
        </w:rPr>
        <w:t>, and it seems that since mid-2010 the financial supervision authorities had some knowledge of dubious practices taking place within the company</w:t>
      </w:r>
      <w:r w:rsidRPr="00DB56BE">
        <w:rPr>
          <w:rFonts w:ascii="Calibri" w:eastAsia="Calibri" w:hAnsi="Calibri" w:cs="Times New Roman"/>
          <w:i/>
        </w:rPr>
        <w:t xml:space="preserve">. In August 2012 the company announced its liquidation and offered no money back to investors. The decision followed press and television coverage of the suspected failure of the business and financial crimes of its owner. The owner and his wife were arrested and face many years in jail. Prosecutors received over 4000 complaints, and </w:t>
      </w:r>
      <w:proofErr w:type="gramStart"/>
      <w:r w:rsidRPr="00DB56BE">
        <w:rPr>
          <w:rFonts w:ascii="Calibri" w:eastAsia="Calibri" w:hAnsi="Calibri" w:cs="Times New Roman"/>
          <w:i/>
        </w:rPr>
        <w:t>the law firm dealing with the class action was contacted by over 3000 investors</w:t>
      </w:r>
      <w:proofErr w:type="gramEnd"/>
      <w:r w:rsidRPr="00DB56BE">
        <w:rPr>
          <w:rFonts w:ascii="Calibri" w:eastAsia="Calibri" w:hAnsi="Calibri" w:cs="Times New Roman"/>
          <w:i/>
        </w:rPr>
        <w:t xml:space="preserve"> within two weeks. By the end of August 2012 the class action (containing 700 people collectively claiming 41 million PLN) was lodged in the </w:t>
      </w:r>
      <w:proofErr w:type="spellStart"/>
      <w:r w:rsidRPr="00DB56BE">
        <w:rPr>
          <w:rFonts w:ascii="Calibri" w:eastAsia="Calibri" w:hAnsi="Calibri" w:cs="Times New Roman"/>
          <w:i/>
        </w:rPr>
        <w:t>Gdańsk</w:t>
      </w:r>
      <w:proofErr w:type="spellEnd"/>
      <w:r w:rsidRPr="00DB56BE">
        <w:rPr>
          <w:rFonts w:ascii="Calibri" w:eastAsia="Calibri" w:hAnsi="Calibri" w:cs="Times New Roman"/>
          <w:i/>
        </w:rPr>
        <w:t xml:space="preserve"> District Court. It is estimated that the total loss to all in</w:t>
      </w:r>
      <w:r w:rsidR="00387068" w:rsidRPr="00DB56BE">
        <w:rPr>
          <w:rFonts w:ascii="Calibri" w:eastAsia="Calibri" w:hAnsi="Calibri" w:cs="Times New Roman"/>
          <w:i/>
        </w:rPr>
        <w:t>vestors exceeds 200 million PLN</w:t>
      </w:r>
      <w:r w:rsidRPr="00DB56BE">
        <w:rPr>
          <w:rFonts w:ascii="Calibri" w:eastAsia="Calibri" w:hAnsi="Calibri" w:cs="Times New Roman"/>
          <w:i/>
        </w:rPr>
        <w:t>.</w:t>
      </w:r>
      <w:r w:rsidRPr="00DB56BE">
        <w:rPr>
          <w:i/>
          <w:vertAlign w:val="superscript"/>
        </w:rPr>
        <w:footnoteReference w:id="26"/>
      </w:r>
      <w:r w:rsidRPr="00DB56BE">
        <w:rPr>
          <w:rFonts w:ascii="Calibri" w:eastAsia="Calibri" w:hAnsi="Calibri" w:cs="Times New Roman"/>
          <w:i/>
        </w:rPr>
        <w:t xml:space="preserve"> The class was divided into more than 100 sub-classes, claiming between a few thousand and a few hundred thousand PLN. It was clear how much people invested and thus their losses </w:t>
      </w:r>
      <w:r w:rsidR="00387068" w:rsidRPr="00DB56BE">
        <w:rPr>
          <w:rFonts w:ascii="Calibri" w:eastAsia="Calibri" w:hAnsi="Calibri" w:cs="Times New Roman"/>
          <w:i/>
        </w:rPr>
        <w:t>were</w:t>
      </w:r>
      <w:r w:rsidRPr="00DB56BE">
        <w:rPr>
          <w:rFonts w:ascii="Calibri" w:eastAsia="Calibri" w:hAnsi="Calibri" w:cs="Times New Roman"/>
          <w:i/>
        </w:rPr>
        <w:t xml:space="preserve"> easy to quantify and probably relatively straightforward to standardize with others. </w:t>
      </w:r>
      <w:r w:rsidR="004C641D" w:rsidRPr="00DB56BE">
        <w:rPr>
          <w:rFonts w:ascii="Calibri" w:eastAsia="Calibri" w:hAnsi="Calibri" w:cs="Times New Roman"/>
          <w:i/>
        </w:rPr>
        <w:t>The future of this litigation was</w:t>
      </w:r>
      <w:r w:rsidRPr="00DB56BE">
        <w:rPr>
          <w:rFonts w:ascii="Calibri" w:eastAsia="Calibri" w:hAnsi="Calibri" w:cs="Times New Roman"/>
          <w:i/>
        </w:rPr>
        <w:t xml:space="preserve"> uncertain for </w:t>
      </w:r>
      <w:r w:rsidR="004C641D" w:rsidRPr="00DB56BE">
        <w:rPr>
          <w:rFonts w:ascii="Calibri" w:eastAsia="Calibri" w:hAnsi="Calibri" w:cs="Times New Roman"/>
          <w:i/>
        </w:rPr>
        <w:t>some time</w:t>
      </w:r>
      <w:r w:rsidRPr="00DB56BE">
        <w:rPr>
          <w:rFonts w:ascii="Calibri" w:eastAsia="Calibri" w:hAnsi="Calibri" w:cs="Times New Roman"/>
          <w:i/>
        </w:rPr>
        <w:t xml:space="preserve"> because the company has since been declared insolvent.</w:t>
      </w:r>
      <w:r w:rsidR="004C641D" w:rsidRPr="00DB56BE">
        <w:rPr>
          <w:rFonts w:ascii="Calibri" w:eastAsia="Calibri" w:hAnsi="Calibri" w:cs="Times New Roman"/>
          <w:i/>
        </w:rPr>
        <w:t xml:space="preserve"> A new suit was brought against the state, alleging that public prosecutors failed to act in a timely manner in reaction to a public enquiry into the company’s finances. In March 2016 the Court of Appeal certified this class action. </w:t>
      </w:r>
      <w:r w:rsidR="000A407D" w:rsidRPr="00DB56BE">
        <w:rPr>
          <w:rFonts w:ascii="Calibri" w:eastAsia="Calibri" w:hAnsi="Calibri" w:cs="Times New Roman"/>
          <w:i/>
        </w:rPr>
        <w:t xml:space="preserve">It involves over 170 people with losses exceeding 21 million PLN. </w:t>
      </w:r>
      <w:r w:rsidR="00387068" w:rsidRPr="00DB56BE">
        <w:rPr>
          <w:rFonts w:ascii="Calibri" w:eastAsia="Calibri" w:hAnsi="Calibri" w:cs="Times New Roman"/>
          <w:i/>
        </w:rPr>
        <w:t xml:space="preserve">Again, their claims were standardised. </w:t>
      </w:r>
      <w:r w:rsidR="000A407D" w:rsidRPr="00DB56BE">
        <w:rPr>
          <w:rFonts w:ascii="Calibri" w:eastAsia="Calibri" w:hAnsi="Calibri" w:cs="Times New Roman"/>
          <w:i/>
        </w:rPr>
        <w:t xml:space="preserve">More class members can still join until 14 December 2016. </w:t>
      </w:r>
      <w:r w:rsidR="004C641D" w:rsidRPr="00DB56BE">
        <w:rPr>
          <w:rFonts w:ascii="Calibri" w:eastAsia="Calibri" w:hAnsi="Calibri" w:cs="Times New Roman"/>
          <w:i/>
        </w:rPr>
        <w:t xml:space="preserve">At the same time, a criminal suit against the couple has also </w:t>
      </w:r>
      <w:r w:rsidR="00387068" w:rsidRPr="00DB56BE">
        <w:rPr>
          <w:rFonts w:ascii="Calibri" w:eastAsia="Calibri" w:hAnsi="Calibri" w:cs="Times New Roman"/>
          <w:i/>
        </w:rPr>
        <w:t xml:space="preserve">finally </w:t>
      </w:r>
      <w:r w:rsidR="004C641D" w:rsidRPr="00DB56BE">
        <w:rPr>
          <w:rFonts w:ascii="Calibri" w:eastAsia="Calibri" w:hAnsi="Calibri" w:cs="Times New Roman"/>
          <w:i/>
        </w:rPr>
        <w:t>commenced</w:t>
      </w:r>
      <w:r w:rsidR="000A407D" w:rsidRPr="00DB56BE">
        <w:rPr>
          <w:rFonts w:ascii="Calibri" w:eastAsia="Calibri" w:hAnsi="Calibri" w:cs="Times New Roman"/>
          <w:i/>
        </w:rPr>
        <w:t xml:space="preserve">, and criminal courts in Poland have the power to order perpetrators of crimes to compensate their victims.  </w:t>
      </w:r>
      <w:r w:rsidR="00387068" w:rsidRPr="00DB56BE">
        <w:rPr>
          <w:rFonts w:ascii="Calibri" w:eastAsia="Calibri" w:hAnsi="Calibri" w:cs="Times New Roman"/>
          <w:i/>
        </w:rPr>
        <w:t xml:space="preserve">Commentators are speculating that the civil suit will be concluded faster, as the prosecutors are planning to examine testimony of 430 witnesses. </w:t>
      </w:r>
    </w:p>
    <w:p w14:paraId="3BEED761" w14:textId="448455DE" w:rsidR="003D70EE" w:rsidRDefault="007B7A85" w:rsidP="003D70EE">
      <w:pPr>
        <w:pBdr>
          <w:bottom w:val="single" w:sz="4" w:space="1" w:color="auto"/>
        </w:pBdr>
        <w:spacing w:after="200" w:line="276" w:lineRule="auto"/>
        <w:jc w:val="both"/>
        <w:rPr>
          <w:rFonts w:ascii="Calibri" w:eastAsia="Calibri" w:hAnsi="Calibri" w:cs="Times New Roman"/>
          <w:b/>
        </w:rPr>
      </w:pPr>
      <w:r>
        <w:rPr>
          <w:rFonts w:ascii="Calibri" w:eastAsia="Calibri" w:hAnsi="Calibri" w:cs="Times New Roman"/>
          <w:b/>
        </w:rPr>
        <w:t xml:space="preserve">The Ministry for Development announced that the amendment proposals will include mechanisms for easier standardisation, but the exact details have not yet been disclosed. </w:t>
      </w:r>
    </w:p>
    <w:p w14:paraId="23DF0DE0" w14:textId="77777777" w:rsidR="001C74E2" w:rsidRPr="001C74E2" w:rsidRDefault="001C74E2" w:rsidP="003D70EE">
      <w:pPr>
        <w:pBdr>
          <w:bottom w:val="single" w:sz="4" w:space="1" w:color="auto"/>
        </w:pBdr>
        <w:spacing w:after="200" w:line="276" w:lineRule="auto"/>
        <w:jc w:val="both"/>
        <w:rPr>
          <w:rFonts w:ascii="Calibri" w:eastAsia="Calibri" w:hAnsi="Calibri" w:cs="Times New Roman"/>
          <w:b/>
        </w:rPr>
      </w:pPr>
    </w:p>
    <w:p w14:paraId="5B434041" w14:textId="62025F91" w:rsidR="00620FE4" w:rsidRPr="003F284D" w:rsidRDefault="008A289B" w:rsidP="00B44787">
      <w:pPr>
        <w:spacing w:after="200" w:line="276" w:lineRule="auto"/>
        <w:jc w:val="both"/>
        <w:rPr>
          <w:rFonts w:asciiTheme="majorHAnsi" w:eastAsia="Calibri" w:hAnsiTheme="majorHAnsi" w:cs="Times New Roman"/>
        </w:rPr>
      </w:pPr>
      <w:r>
        <w:rPr>
          <w:rFonts w:asciiTheme="majorHAnsi" w:eastAsia="Calibri" w:hAnsiTheme="majorHAnsi" w:cs="Times New Roman"/>
        </w:rPr>
        <w:t xml:space="preserve">In the next part of the Report I highlight other problems with the procedure, specifically the </w:t>
      </w:r>
      <w:r w:rsidR="00387068">
        <w:rPr>
          <w:rFonts w:asciiTheme="majorHAnsi" w:eastAsia="Calibri" w:hAnsiTheme="majorHAnsi" w:cs="Times New Roman"/>
        </w:rPr>
        <w:t xml:space="preserve">cost and </w:t>
      </w:r>
      <w:r>
        <w:rPr>
          <w:rFonts w:asciiTheme="majorHAnsi" w:eastAsia="Calibri" w:hAnsiTheme="majorHAnsi" w:cs="Times New Roman"/>
        </w:rPr>
        <w:t>funding issue</w:t>
      </w:r>
      <w:r w:rsidR="00387068">
        <w:rPr>
          <w:rFonts w:asciiTheme="majorHAnsi" w:eastAsia="Calibri" w:hAnsiTheme="majorHAnsi" w:cs="Times New Roman"/>
        </w:rPr>
        <w:t>s</w:t>
      </w:r>
      <w:r>
        <w:rPr>
          <w:rFonts w:asciiTheme="majorHAnsi" w:eastAsia="Calibri" w:hAnsiTheme="majorHAnsi" w:cs="Times New Roman"/>
        </w:rPr>
        <w:t xml:space="preserve"> and </w:t>
      </w:r>
      <w:r w:rsidR="00387068">
        <w:rPr>
          <w:rFonts w:asciiTheme="majorHAnsi" w:eastAsia="Calibri" w:hAnsiTheme="majorHAnsi" w:cs="Times New Roman"/>
        </w:rPr>
        <w:t xml:space="preserve">the overly complex and long </w:t>
      </w:r>
      <w:r>
        <w:rPr>
          <w:rFonts w:asciiTheme="majorHAnsi" w:eastAsia="Calibri" w:hAnsiTheme="majorHAnsi" w:cs="Times New Roman"/>
        </w:rPr>
        <w:t>certification and class formation proceedings.</w:t>
      </w:r>
    </w:p>
    <w:p w14:paraId="23E36446" w14:textId="669CDA06" w:rsidR="00AB505B" w:rsidRPr="001C74E2" w:rsidRDefault="00AB505B" w:rsidP="001C74E2">
      <w:pPr>
        <w:pStyle w:val="ListParagraph"/>
        <w:numPr>
          <w:ilvl w:val="0"/>
          <w:numId w:val="8"/>
        </w:numPr>
        <w:spacing w:after="200" w:line="276" w:lineRule="auto"/>
        <w:jc w:val="both"/>
        <w:rPr>
          <w:rFonts w:asciiTheme="majorHAnsi" w:eastAsia="Calibri" w:hAnsiTheme="majorHAnsi" w:cs="Times New Roman"/>
          <w:b/>
          <w:bCs/>
          <w:caps/>
          <w:sz w:val="24"/>
          <w:szCs w:val="24"/>
          <w:lang w:val="en-GB"/>
        </w:rPr>
      </w:pPr>
      <w:r w:rsidRPr="001C74E2">
        <w:rPr>
          <w:rFonts w:asciiTheme="majorHAnsi" w:eastAsia="Calibri" w:hAnsiTheme="majorHAnsi" w:cs="Times New Roman"/>
          <w:b/>
          <w:bCs/>
          <w:caps/>
          <w:sz w:val="24"/>
          <w:szCs w:val="24"/>
          <w:lang w:val="en-GB"/>
        </w:rPr>
        <w:t>Costs and funding:</w:t>
      </w:r>
    </w:p>
    <w:p w14:paraId="4EDFCAE3" w14:textId="77777777" w:rsidR="000C7AD5" w:rsidRDefault="000C7AD5" w:rsidP="000C7AD5">
      <w:pPr>
        <w:pStyle w:val="ListParagraph"/>
        <w:spacing w:after="200" w:line="276" w:lineRule="auto"/>
        <w:jc w:val="both"/>
        <w:rPr>
          <w:rFonts w:ascii="Calibri" w:eastAsia="Calibri" w:hAnsi="Calibri" w:cs="Times New Roman"/>
          <w:b/>
        </w:rPr>
      </w:pPr>
    </w:p>
    <w:p w14:paraId="64783A13" w14:textId="4C04A0D8" w:rsidR="000C7AD5" w:rsidRPr="000C7AD5" w:rsidRDefault="000C7AD5" w:rsidP="000C7AD5">
      <w:pPr>
        <w:pStyle w:val="ListParagraph"/>
        <w:numPr>
          <w:ilvl w:val="0"/>
          <w:numId w:val="9"/>
        </w:numPr>
        <w:spacing w:after="200" w:line="276" w:lineRule="auto"/>
        <w:jc w:val="both"/>
        <w:rPr>
          <w:rFonts w:ascii="Calibri" w:eastAsia="Calibri" w:hAnsi="Calibri" w:cs="Times New Roman"/>
          <w:b/>
          <w:bCs/>
          <w:caps/>
        </w:rPr>
      </w:pPr>
      <w:r w:rsidRPr="000C7AD5">
        <w:rPr>
          <w:rFonts w:ascii="Calibri" w:eastAsia="Calibri" w:hAnsi="Calibri" w:cs="Times New Roman"/>
          <w:b/>
          <w:bCs/>
          <w:caps/>
        </w:rPr>
        <w:t>The under-used contingency fee agreements:</w:t>
      </w:r>
    </w:p>
    <w:p w14:paraId="3C280FC6" w14:textId="184AB286" w:rsidR="003D70EE" w:rsidRPr="000C7AD5" w:rsidRDefault="003D70EE" w:rsidP="000C7AD5">
      <w:pPr>
        <w:spacing w:after="200" w:line="276" w:lineRule="auto"/>
        <w:jc w:val="both"/>
        <w:rPr>
          <w:rFonts w:ascii="Calibri" w:eastAsia="Calibri" w:hAnsi="Calibri" w:cs="Times New Roman"/>
        </w:rPr>
      </w:pPr>
      <w:r w:rsidRPr="000C7AD5">
        <w:rPr>
          <w:rFonts w:ascii="Calibri" w:eastAsia="Calibri" w:hAnsi="Calibri" w:cs="Times New Roman"/>
        </w:rPr>
        <w:t>The Act allows lawyers representing the class to agree to a success fee, with the upper limit of 20% of th</w:t>
      </w:r>
      <w:r w:rsidR="00414BA5" w:rsidRPr="000C7AD5">
        <w:rPr>
          <w:rFonts w:ascii="Calibri" w:eastAsia="Calibri" w:hAnsi="Calibri" w:cs="Times New Roman"/>
        </w:rPr>
        <w:t>e amount recovered for the class.</w:t>
      </w:r>
      <w:r w:rsidRPr="00A023FF">
        <w:rPr>
          <w:vertAlign w:val="superscript"/>
        </w:rPr>
        <w:footnoteReference w:id="27"/>
      </w:r>
      <w:r w:rsidRPr="000C7AD5">
        <w:rPr>
          <w:rFonts w:ascii="Calibri" w:eastAsia="Calibri" w:hAnsi="Calibri" w:cs="Times New Roman"/>
        </w:rPr>
        <w:t xml:space="preserve"> </w:t>
      </w:r>
      <w:r w:rsidR="00052B69" w:rsidRPr="000C7AD5">
        <w:rPr>
          <w:rFonts w:ascii="Calibri" w:eastAsia="Calibri" w:hAnsi="Calibri" w:cs="Times New Roman"/>
        </w:rPr>
        <w:t xml:space="preserve">There is not much evidence of such arrangements actually being </w:t>
      </w:r>
      <w:r w:rsidR="008E58A2">
        <w:rPr>
          <w:rFonts w:ascii="Calibri" w:eastAsia="Calibri" w:hAnsi="Calibri" w:cs="Times New Roman"/>
        </w:rPr>
        <w:t>concluded</w:t>
      </w:r>
      <w:r w:rsidR="00052B69" w:rsidRPr="000C7AD5">
        <w:rPr>
          <w:rFonts w:ascii="Calibri" w:eastAsia="Calibri" w:hAnsi="Calibri" w:cs="Times New Roman"/>
        </w:rPr>
        <w:t xml:space="preserve"> in practice.</w:t>
      </w:r>
      <w:r w:rsidRPr="000C7AD5">
        <w:rPr>
          <w:rFonts w:ascii="Calibri" w:eastAsia="Calibri" w:hAnsi="Calibri" w:cs="Times New Roman"/>
        </w:rPr>
        <w:t xml:space="preserve"> There is anecdotal evidence of one such agreement having been concluded in a class action led by a sole practitioner.</w:t>
      </w:r>
      <w:r w:rsidRPr="00A023FF">
        <w:rPr>
          <w:vertAlign w:val="superscript"/>
        </w:rPr>
        <w:footnoteReference w:id="28"/>
      </w:r>
      <w:r w:rsidRPr="000C7AD5">
        <w:rPr>
          <w:rFonts w:ascii="Calibri" w:eastAsia="Calibri" w:hAnsi="Calibri" w:cs="Times New Roman"/>
        </w:rPr>
        <w:t xml:space="preserve"> One more contingency fee arrangement was concluded in the </w:t>
      </w:r>
      <w:proofErr w:type="spellStart"/>
      <w:r w:rsidRPr="000C7AD5">
        <w:rPr>
          <w:rFonts w:ascii="Calibri" w:eastAsia="Calibri" w:hAnsi="Calibri" w:cs="Times New Roman"/>
        </w:rPr>
        <w:t>Sandomierz</w:t>
      </w:r>
      <w:proofErr w:type="spellEnd"/>
      <w:r w:rsidRPr="000C7AD5">
        <w:rPr>
          <w:rFonts w:ascii="Calibri" w:eastAsia="Calibri" w:hAnsi="Calibri" w:cs="Times New Roman"/>
        </w:rPr>
        <w:t xml:space="preserve"> flood case (mentioned above, handled by KKG), but it was subsequently repealed and a new up-front fee was agreed. This change was triggered by the amendment of the claim: from a monetary claim of a number of sub-classes to declaratory relief only. </w:t>
      </w:r>
      <w:r w:rsidR="00052B69" w:rsidRPr="000C7AD5">
        <w:rPr>
          <w:rFonts w:ascii="Calibri" w:eastAsia="Calibri" w:hAnsi="Calibri" w:cs="Times New Roman"/>
        </w:rPr>
        <w:t>A</w:t>
      </w:r>
      <w:r w:rsidRPr="000C7AD5">
        <w:rPr>
          <w:rFonts w:ascii="Calibri" w:eastAsia="Calibri" w:hAnsi="Calibri" w:cs="Times New Roman"/>
        </w:rPr>
        <w:t xml:space="preserve"> success fee element of between 10 and 5% (depending on how many people join the case) was </w:t>
      </w:r>
      <w:proofErr w:type="gramStart"/>
      <w:r w:rsidRPr="000C7AD5">
        <w:rPr>
          <w:rFonts w:ascii="Calibri" w:eastAsia="Calibri" w:hAnsi="Calibri" w:cs="Times New Roman"/>
        </w:rPr>
        <w:t>added</w:t>
      </w:r>
      <w:proofErr w:type="gramEnd"/>
      <w:r w:rsidRPr="000C7AD5">
        <w:rPr>
          <w:rFonts w:ascii="Calibri" w:eastAsia="Calibri" w:hAnsi="Calibri" w:cs="Times New Roman"/>
        </w:rPr>
        <w:t xml:space="preserve"> to an up-front fee in a class action lawsuit against two insurance companies (</w:t>
      </w:r>
      <w:proofErr w:type="spellStart"/>
      <w:r w:rsidRPr="000C7AD5">
        <w:rPr>
          <w:rFonts w:ascii="Calibri" w:eastAsia="Calibri" w:hAnsi="Calibri" w:cs="Times New Roman"/>
        </w:rPr>
        <w:t>Aegon</w:t>
      </w:r>
      <w:proofErr w:type="spellEnd"/>
      <w:r w:rsidRPr="000C7AD5">
        <w:rPr>
          <w:rFonts w:ascii="Calibri" w:eastAsia="Calibri" w:hAnsi="Calibri" w:cs="Times New Roman"/>
        </w:rPr>
        <w:t xml:space="preserve"> and Skandia).</w:t>
      </w:r>
      <w:r>
        <w:rPr>
          <w:rStyle w:val="FootnoteReference"/>
          <w:rFonts w:ascii="Calibri" w:eastAsia="Calibri" w:hAnsi="Calibri" w:cs="Times New Roman"/>
        </w:rPr>
        <w:footnoteReference w:id="29"/>
      </w:r>
    </w:p>
    <w:p w14:paraId="67F20641" w14:textId="7C10671D" w:rsidR="003D70EE" w:rsidRPr="00A023FF"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Why are these arrangements so rare? After all, the new rule appears an attractive alternative to the current situation in Poland, and some class actions involve large numbers of people with reasonably high claims. Polish lawyers</w:t>
      </w:r>
      <w:r w:rsidRPr="00A023FF">
        <w:rPr>
          <w:rFonts w:ascii="Calibri" w:eastAsia="Calibri" w:hAnsi="Calibri" w:cs="Times New Roman"/>
          <w:vertAlign w:val="superscript"/>
        </w:rPr>
        <w:footnoteReference w:id="30"/>
      </w:r>
      <w:r w:rsidRPr="00A023FF">
        <w:rPr>
          <w:rFonts w:ascii="Calibri" w:eastAsia="Calibri" w:hAnsi="Calibri" w:cs="Times New Roman"/>
        </w:rPr>
        <w:t xml:space="preserve"> normally charge an hourly fee, or a per-task sum of money, agreed in advance with clients. Sometimes these fees are supplemented by an additional amount if the case takes more time than planned or is very complex. Further, they can also be complemented by a small percentage of the money recovered (success fee).</w:t>
      </w:r>
      <w:r w:rsidRPr="00A023FF">
        <w:rPr>
          <w:rFonts w:ascii="Calibri" w:eastAsia="Calibri" w:hAnsi="Calibri" w:cs="Times New Roman"/>
          <w:vertAlign w:val="superscript"/>
        </w:rPr>
        <w:footnoteReference w:id="31"/>
      </w:r>
      <w:r>
        <w:rPr>
          <w:rFonts w:ascii="Calibri" w:eastAsia="Calibri" w:hAnsi="Calibri" w:cs="Times New Roman"/>
        </w:rPr>
        <w:t xml:space="preserve"> </w:t>
      </w:r>
      <w:r w:rsidRPr="00A023FF">
        <w:rPr>
          <w:rFonts w:ascii="Calibri" w:eastAsia="Calibri" w:hAnsi="Calibri" w:cs="Times New Roman"/>
        </w:rPr>
        <w:t>Agreements where lawyers charge exclusively a percentage of the amount recovered (</w:t>
      </w:r>
      <w:proofErr w:type="spellStart"/>
      <w:r w:rsidRPr="00A023FF">
        <w:rPr>
          <w:rFonts w:ascii="Calibri" w:eastAsia="Calibri" w:hAnsi="Calibri" w:cs="Times New Roman"/>
          <w:i/>
        </w:rPr>
        <w:t>pacta</w:t>
      </w:r>
      <w:proofErr w:type="spellEnd"/>
      <w:r w:rsidRPr="00A023FF">
        <w:rPr>
          <w:rFonts w:ascii="Calibri" w:eastAsia="Calibri" w:hAnsi="Calibri" w:cs="Times New Roman"/>
          <w:i/>
        </w:rPr>
        <w:t xml:space="preserve"> de quota </w:t>
      </w:r>
      <w:proofErr w:type="spellStart"/>
      <w:r w:rsidRPr="00A023FF">
        <w:rPr>
          <w:rFonts w:ascii="Calibri" w:eastAsia="Calibri" w:hAnsi="Calibri" w:cs="Times New Roman"/>
          <w:i/>
        </w:rPr>
        <w:t>litis</w:t>
      </w:r>
      <w:proofErr w:type="spellEnd"/>
      <w:r w:rsidRPr="00A023FF">
        <w:rPr>
          <w:rFonts w:ascii="Calibri" w:eastAsia="Calibri" w:hAnsi="Calibri" w:cs="Times New Roman"/>
          <w:i/>
        </w:rPr>
        <w:t xml:space="preserve">, </w:t>
      </w:r>
      <w:r w:rsidRPr="00A023FF">
        <w:rPr>
          <w:rFonts w:ascii="Calibri" w:eastAsia="Calibri" w:hAnsi="Calibri" w:cs="Times New Roman"/>
        </w:rPr>
        <w:t>or success fees) a</w:t>
      </w:r>
      <w:r>
        <w:rPr>
          <w:rFonts w:ascii="Calibri" w:eastAsia="Calibri" w:hAnsi="Calibri" w:cs="Times New Roman"/>
        </w:rPr>
        <w:t>re not permitted by the rules of</w:t>
      </w:r>
      <w:r w:rsidRPr="00A023FF">
        <w:rPr>
          <w:rFonts w:ascii="Calibri" w:eastAsia="Calibri" w:hAnsi="Calibri" w:cs="Times New Roman"/>
        </w:rPr>
        <w:t xml:space="preserve"> </w:t>
      </w:r>
      <w:proofErr w:type="gramStart"/>
      <w:r w:rsidRPr="00A023FF">
        <w:rPr>
          <w:rFonts w:ascii="Calibri" w:eastAsia="Calibri" w:hAnsi="Calibri" w:cs="Times New Roman"/>
        </w:rPr>
        <w:t>lawyers</w:t>
      </w:r>
      <w:proofErr w:type="gramEnd"/>
      <w:r w:rsidRPr="00A023FF">
        <w:rPr>
          <w:rFonts w:ascii="Calibri" w:eastAsia="Calibri" w:hAnsi="Calibri" w:cs="Times New Roman"/>
        </w:rPr>
        <w:t xml:space="preserve"> ethics.</w:t>
      </w:r>
      <w:r w:rsidRPr="00A023FF">
        <w:rPr>
          <w:rFonts w:ascii="Calibri" w:eastAsia="Calibri" w:hAnsi="Calibri" w:cs="Times New Roman"/>
          <w:vertAlign w:val="superscript"/>
        </w:rPr>
        <w:footnoteReference w:id="32"/>
      </w:r>
      <w:r w:rsidRPr="00A023FF">
        <w:rPr>
          <w:rFonts w:ascii="Calibri" w:eastAsia="Calibri" w:hAnsi="Calibri" w:cs="Times New Roman"/>
        </w:rPr>
        <w:t xml:space="preserve"> Civil procedure laws, including the Civil Procedure Code of 1964, are silent on the issue except for the Class Actions Act. And yet, practice shows how attractive these agreements can be in individual litigation: both for lawyers wishing to gain a wider client base and for prospective clients with no ready cash but promising cases. </w:t>
      </w:r>
    </w:p>
    <w:p w14:paraId="75FF67FB" w14:textId="554018D9" w:rsidR="000C7AD5"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Lawyers acting in class actions, however, prefer to use traditional cash remuneration. Many see class actions as too risky to invest in. The procedure has not yet been tested fully and the cost exposure for lawyers, especially in complex cases, is unknown. </w:t>
      </w:r>
      <w:r w:rsidR="000C7AD5">
        <w:rPr>
          <w:rFonts w:ascii="Calibri" w:eastAsia="Calibri" w:hAnsi="Calibri" w:cs="Times New Roman"/>
        </w:rPr>
        <w:t>Further,</w:t>
      </w:r>
      <w:r w:rsidR="000C7AD5" w:rsidRPr="0076430C">
        <w:rPr>
          <w:rFonts w:ascii="Calibri" w:eastAsia="Calibri" w:hAnsi="Calibri" w:cs="Times New Roman"/>
        </w:rPr>
        <w:t xml:space="preserve"> the possibility of agreeing to a </w:t>
      </w:r>
      <w:r w:rsidR="000C7AD5">
        <w:rPr>
          <w:rFonts w:ascii="Calibri" w:eastAsia="Calibri" w:hAnsi="Calibri" w:cs="Times New Roman"/>
        </w:rPr>
        <w:t>success</w:t>
      </w:r>
      <w:r w:rsidR="000C7AD5" w:rsidRPr="0076430C">
        <w:rPr>
          <w:rFonts w:ascii="Calibri" w:eastAsia="Calibri" w:hAnsi="Calibri" w:cs="Times New Roman"/>
        </w:rPr>
        <w:t xml:space="preserve"> fee virtually disappears</w:t>
      </w:r>
      <w:r w:rsidR="000C7AD5">
        <w:rPr>
          <w:rFonts w:ascii="Calibri" w:eastAsia="Calibri" w:hAnsi="Calibri" w:cs="Times New Roman"/>
        </w:rPr>
        <w:t xml:space="preserve"> in cases where </w:t>
      </w:r>
      <w:r w:rsidR="008E58A2">
        <w:rPr>
          <w:rFonts w:ascii="Calibri" w:eastAsia="Calibri" w:hAnsi="Calibri" w:cs="Times New Roman"/>
        </w:rPr>
        <w:t>declaratory relief</w:t>
      </w:r>
      <w:r w:rsidR="000C7AD5">
        <w:rPr>
          <w:rFonts w:ascii="Calibri" w:eastAsia="Calibri" w:hAnsi="Calibri" w:cs="Times New Roman"/>
        </w:rPr>
        <w:t xml:space="preserve"> is sought</w:t>
      </w:r>
      <w:r w:rsidR="000C7AD5" w:rsidRPr="0076430C">
        <w:rPr>
          <w:rFonts w:ascii="Calibri" w:eastAsia="Calibri" w:hAnsi="Calibri" w:cs="Times New Roman"/>
        </w:rPr>
        <w:t xml:space="preserve">. There is no ‘amount obtained for the class’ to set as the basis of the fee. </w:t>
      </w:r>
    </w:p>
    <w:p w14:paraId="14F7C4DF" w14:textId="3982A81D" w:rsidR="003D70EE" w:rsidRDefault="000C7AD5" w:rsidP="003D70EE">
      <w:pPr>
        <w:spacing w:after="200" w:line="276" w:lineRule="auto"/>
        <w:jc w:val="both"/>
        <w:rPr>
          <w:rFonts w:ascii="Calibri" w:eastAsia="Calibri" w:hAnsi="Calibri" w:cs="Times New Roman"/>
        </w:rPr>
      </w:pPr>
      <w:r>
        <w:rPr>
          <w:rFonts w:ascii="Calibri" w:eastAsia="Calibri" w:hAnsi="Calibri" w:cs="Times New Roman"/>
        </w:rPr>
        <w:t>Even in cases where claims have been standardized and it would be possible to conclude a contingency fee agreement, lawyers demand money up-front. In the</w:t>
      </w:r>
      <w:r w:rsidR="003D70EE" w:rsidRPr="00A023FF">
        <w:rPr>
          <w:rFonts w:ascii="Calibri" w:eastAsia="Calibri" w:hAnsi="Calibri" w:cs="Times New Roman"/>
        </w:rPr>
        <w:t xml:space="preserve"> case against the investment company Amber Gold</w:t>
      </w:r>
      <w:r>
        <w:rPr>
          <w:rFonts w:ascii="Calibri" w:eastAsia="Calibri" w:hAnsi="Calibri" w:cs="Times New Roman"/>
        </w:rPr>
        <w:t xml:space="preserve"> (analysed above)</w:t>
      </w:r>
      <w:r w:rsidR="003D70EE" w:rsidRPr="00A023FF">
        <w:rPr>
          <w:rFonts w:ascii="Calibri" w:eastAsia="Calibri" w:hAnsi="Calibri" w:cs="Times New Roman"/>
        </w:rPr>
        <w:t xml:space="preserve">, the law firm of </w:t>
      </w:r>
      <w:proofErr w:type="spellStart"/>
      <w:r w:rsidR="003D70EE" w:rsidRPr="00A023FF">
        <w:rPr>
          <w:rFonts w:ascii="Calibri" w:eastAsia="Calibri" w:hAnsi="Calibri" w:cs="Times New Roman"/>
        </w:rPr>
        <w:t>Chałas</w:t>
      </w:r>
      <w:proofErr w:type="spellEnd"/>
      <w:r w:rsidR="003D70EE" w:rsidRPr="00A023FF">
        <w:rPr>
          <w:rFonts w:ascii="Calibri" w:eastAsia="Calibri" w:hAnsi="Calibri" w:cs="Times New Roman"/>
        </w:rPr>
        <w:t xml:space="preserve"> </w:t>
      </w:r>
      <w:proofErr w:type="spellStart"/>
      <w:r w:rsidR="003D70EE" w:rsidRPr="00A023FF">
        <w:rPr>
          <w:rFonts w:ascii="Calibri" w:eastAsia="Calibri" w:hAnsi="Calibri" w:cs="Times New Roman"/>
        </w:rPr>
        <w:t>i</w:t>
      </w:r>
      <w:proofErr w:type="spellEnd"/>
      <w:r w:rsidR="003D70EE" w:rsidRPr="00A023FF">
        <w:rPr>
          <w:rFonts w:ascii="Calibri" w:eastAsia="Calibri" w:hAnsi="Calibri" w:cs="Times New Roman"/>
        </w:rPr>
        <w:t xml:space="preserve"> </w:t>
      </w:r>
      <w:proofErr w:type="spellStart"/>
      <w:r w:rsidR="003D70EE" w:rsidRPr="00A023FF">
        <w:rPr>
          <w:rFonts w:ascii="Calibri" w:eastAsia="Calibri" w:hAnsi="Calibri" w:cs="Times New Roman"/>
        </w:rPr>
        <w:t>Wspólnicy</w:t>
      </w:r>
      <w:proofErr w:type="spellEnd"/>
      <w:r w:rsidR="003D70EE" w:rsidRPr="00A023FF">
        <w:rPr>
          <w:rFonts w:ascii="Calibri" w:eastAsia="Calibri" w:hAnsi="Calibri" w:cs="Times New Roman"/>
        </w:rPr>
        <w:t xml:space="preserve"> demanded an up-front fee the amount of which depends upon the amount claimed by each class member.</w:t>
      </w:r>
      <w:r w:rsidR="00026333">
        <w:rPr>
          <w:rFonts w:ascii="Calibri" w:eastAsia="Calibri" w:hAnsi="Calibri" w:cs="Times New Roman"/>
        </w:rPr>
        <w:t xml:space="preserve"> The law firm demanded</w:t>
      </w:r>
      <w:r w:rsidR="003D70EE" w:rsidRPr="00A023FF">
        <w:rPr>
          <w:rFonts w:ascii="Calibri" w:eastAsia="Calibri" w:hAnsi="Calibri" w:cs="Times New Roman"/>
        </w:rPr>
        <w:t xml:space="preserve"> between 3,3% and 9,8% of the value of each person’s claim as remuneration payable up-front, in addition to collecting 2% of the value of each claim to cover co</w:t>
      </w:r>
      <w:r w:rsidR="00026333">
        <w:rPr>
          <w:rFonts w:ascii="Calibri" w:eastAsia="Calibri" w:hAnsi="Calibri" w:cs="Times New Roman"/>
        </w:rPr>
        <w:t xml:space="preserve">urt fees. </w:t>
      </w:r>
      <w:proofErr w:type="spellStart"/>
      <w:r w:rsidR="00026333">
        <w:rPr>
          <w:rFonts w:ascii="Calibri" w:eastAsia="Calibri" w:hAnsi="Calibri" w:cs="Times New Roman"/>
        </w:rPr>
        <w:t>Gazeta</w:t>
      </w:r>
      <w:proofErr w:type="spellEnd"/>
      <w:r w:rsidR="00026333">
        <w:rPr>
          <w:rFonts w:ascii="Calibri" w:eastAsia="Calibri" w:hAnsi="Calibri" w:cs="Times New Roman"/>
        </w:rPr>
        <w:t xml:space="preserve"> </w:t>
      </w:r>
      <w:proofErr w:type="spellStart"/>
      <w:r w:rsidR="00026333">
        <w:rPr>
          <w:rFonts w:ascii="Calibri" w:eastAsia="Calibri" w:hAnsi="Calibri" w:cs="Times New Roman"/>
        </w:rPr>
        <w:t>Wyborcza</w:t>
      </w:r>
      <w:proofErr w:type="spellEnd"/>
      <w:r w:rsidR="00026333">
        <w:rPr>
          <w:rFonts w:ascii="Calibri" w:eastAsia="Calibri" w:hAnsi="Calibri" w:cs="Times New Roman"/>
        </w:rPr>
        <w:t xml:space="preserve"> quoted</w:t>
      </w:r>
      <w:r w:rsidR="003D70EE" w:rsidRPr="00A023FF">
        <w:rPr>
          <w:rFonts w:ascii="Calibri" w:eastAsia="Calibri" w:hAnsi="Calibri" w:cs="Times New Roman"/>
        </w:rPr>
        <w:t xml:space="preserve"> information given by the law firm that if an amount up to 10,000 PLN is sought, the firm charges 984 PLN, and if it is an amount over 90,000 PLN, the lawyers’ remuneration is 3,000 PLN.</w:t>
      </w:r>
      <w:r w:rsidR="003D70EE" w:rsidRPr="00A023FF">
        <w:rPr>
          <w:rFonts w:ascii="Calibri" w:eastAsia="Calibri" w:hAnsi="Calibri" w:cs="Times New Roman"/>
          <w:vertAlign w:val="superscript"/>
        </w:rPr>
        <w:footnoteReference w:id="33"/>
      </w:r>
      <w:r w:rsidR="003D70EE" w:rsidRPr="00A023FF">
        <w:rPr>
          <w:rFonts w:ascii="Calibri" w:eastAsia="Calibri" w:hAnsi="Calibri" w:cs="Times New Roman"/>
        </w:rPr>
        <w:t xml:space="preserve"> For other amounts, some amount in between is charged. </w:t>
      </w:r>
    </w:p>
    <w:p w14:paraId="541D5563" w14:textId="2FEE5598" w:rsidR="001A5B3C" w:rsidRPr="00A023FF" w:rsidRDefault="001A5B3C" w:rsidP="003D70EE">
      <w:pPr>
        <w:spacing w:after="200" w:line="276" w:lineRule="auto"/>
        <w:jc w:val="both"/>
        <w:rPr>
          <w:rFonts w:ascii="Calibri" w:eastAsia="Calibri" w:hAnsi="Calibri" w:cs="Times New Roman"/>
        </w:rPr>
      </w:pPr>
      <w:r>
        <w:rPr>
          <w:rFonts w:ascii="Calibri" w:eastAsia="Calibri" w:hAnsi="Calibri" w:cs="Times New Roman"/>
        </w:rPr>
        <w:t>To summarize, it is extremely rare for class members to be able to join a class action without paying quite a considerable fee to their lawyers.</w:t>
      </w:r>
      <w:r w:rsidR="00B41928">
        <w:rPr>
          <w:rFonts w:ascii="Calibri" w:eastAsia="Calibri" w:hAnsi="Calibri" w:cs="Times New Roman"/>
        </w:rPr>
        <w:t xml:space="preserve"> Other potential costs of class litigation, and the ‘loser pays’ principle, further increase the cost exposure for class members. </w:t>
      </w:r>
    </w:p>
    <w:p w14:paraId="004863F3" w14:textId="41F9546F" w:rsidR="003D70EE" w:rsidRPr="000C7AD5" w:rsidRDefault="000C7AD5" w:rsidP="00026333">
      <w:pPr>
        <w:spacing w:after="200" w:line="276" w:lineRule="auto"/>
        <w:contextualSpacing/>
        <w:jc w:val="both"/>
        <w:rPr>
          <w:rFonts w:ascii="Calibri" w:eastAsia="Calibri" w:hAnsi="Calibri" w:cs="Times New Roman"/>
          <w:b/>
          <w:bCs/>
          <w:caps/>
        </w:rPr>
      </w:pPr>
      <w:r w:rsidRPr="000C7AD5">
        <w:rPr>
          <w:rFonts w:ascii="Calibri" w:eastAsia="Calibri" w:hAnsi="Calibri" w:cs="Times New Roman"/>
          <w:b/>
          <w:bCs/>
          <w:caps/>
        </w:rPr>
        <w:t xml:space="preserve">2. </w:t>
      </w:r>
      <w:r w:rsidR="00B41928">
        <w:rPr>
          <w:rFonts w:ascii="Calibri" w:eastAsia="Calibri" w:hAnsi="Calibri" w:cs="Times New Roman"/>
          <w:b/>
          <w:bCs/>
          <w:caps/>
        </w:rPr>
        <w:t>OTHER</w:t>
      </w:r>
      <w:r>
        <w:rPr>
          <w:rFonts w:ascii="Calibri" w:eastAsia="Calibri" w:hAnsi="Calibri" w:cs="Times New Roman"/>
          <w:b/>
          <w:bCs/>
          <w:caps/>
        </w:rPr>
        <w:t xml:space="preserve"> costs of class actions</w:t>
      </w:r>
    </w:p>
    <w:p w14:paraId="742F18F2" w14:textId="0285736D" w:rsidR="003D70EE"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The court fee for a class action was set as 2% of the value of the case, but no less than 30 PLN and no more than 100,000 PLN.</w:t>
      </w:r>
      <w:r w:rsidRPr="00A023FF">
        <w:rPr>
          <w:rFonts w:ascii="Calibri" w:eastAsia="Calibri" w:hAnsi="Calibri" w:cs="Times New Roman"/>
          <w:vertAlign w:val="superscript"/>
        </w:rPr>
        <w:footnoteReference w:id="34"/>
      </w:r>
      <w:r w:rsidRPr="00A023FF">
        <w:rPr>
          <w:rFonts w:ascii="Calibri" w:eastAsia="Calibri" w:hAnsi="Calibri" w:cs="Times New Roman"/>
        </w:rPr>
        <w:t xml:space="preserve"> If non-pecuniary claims are sought, a temporary fee is set at 600 PLN.</w:t>
      </w:r>
      <w:r w:rsidRPr="00A023FF">
        <w:rPr>
          <w:rFonts w:ascii="Calibri" w:eastAsia="Calibri" w:hAnsi="Calibri" w:cs="Times New Roman"/>
          <w:vertAlign w:val="superscript"/>
        </w:rPr>
        <w:footnoteReference w:id="35"/>
      </w:r>
      <w:r w:rsidRPr="00A023FF">
        <w:rPr>
          <w:rFonts w:ascii="Calibri" w:eastAsia="Calibri" w:hAnsi="Calibri" w:cs="Times New Roman"/>
        </w:rPr>
        <w:t xml:space="preserve"> If the value of the case cannot be determined initially, the temporary fee is set between 100 PLN and 10,000 PLN.</w:t>
      </w:r>
      <w:r w:rsidRPr="00A023FF">
        <w:rPr>
          <w:rFonts w:ascii="Calibri" w:eastAsia="Calibri" w:hAnsi="Calibri" w:cs="Times New Roman"/>
          <w:vertAlign w:val="superscript"/>
        </w:rPr>
        <w:footnoteReference w:id="36"/>
      </w:r>
      <w:r w:rsidRPr="00A023FF">
        <w:rPr>
          <w:rFonts w:ascii="Calibri" w:eastAsia="Calibri" w:hAnsi="Calibri" w:cs="Times New Roman"/>
        </w:rPr>
        <w:t xml:space="preserve"> </w:t>
      </w:r>
      <w:r>
        <w:rPr>
          <w:rFonts w:ascii="Calibri" w:eastAsia="Calibri" w:hAnsi="Calibri" w:cs="Times New Roman"/>
        </w:rPr>
        <w:t xml:space="preserve">In the practice of class actions so far, such temporary fees are most common. </w:t>
      </w:r>
      <w:r w:rsidR="00597EE9">
        <w:rPr>
          <w:rFonts w:ascii="Calibri" w:eastAsia="Calibri" w:hAnsi="Calibri" w:cs="Times New Roman"/>
        </w:rPr>
        <w:t>Many ask for declaratory relief. In other cases it</w:t>
      </w:r>
      <w:r>
        <w:rPr>
          <w:rFonts w:ascii="Calibri" w:eastAsia="Calibri" w:hAnsi="Calibri" w:cs="Times New Roman"/>
        </w:rPr>
        <w:t xml:space="preserve"> is often unknown what the ultimate value of the case will be, as the total number of class members is not clear until later in the proceedings.</w:t>
      </w:r>
      <w:r>
        <w:rPr>
          <w:rStyle w:val="FootnoteReference"/>
          <w:rFonts w:ascii="Calibri" w:eastAsia="Calibri" w:hAnsi="Calibri" w:cs="Times New Roman"/>
        </w:rPr>
        <w:footnoteReference w:id="37"/>
      </w:r>
    </w:p>
    <w:p w14:paraId="4DDCFA8B" w14:textId="3230A7B5" w:rsidR="003D70EE" w:rsidRPr="00A023FF" w:rsidRDefault="003D70EE" w:rsidP="003D70EE">
      <w:pPr>
        <w:spacing w:after="200" w:line="276" w:lineRule="auto"/>
        <w:jc w:val="both"/>
        <w:rPr>
          <w:rFonts w:ascii="Calibri" w:eastAsia="Calibri" w:hAnsi="Calibri" w:cs="Times New Roman"/>
        </w:rPr>
      </w:pPr>
      <w:r>
        <w:rPr>
          <w:rFonts w:ascii="Calibri" w:eastAsia="Calibri" w:hAnsi="Calibri" w:cs="Times New Roman"/>
        </w:rPr>
        <w:t>The court fee is</w:t>
      </w:r>
      <w:r w:rsidRPr="00A023FF">
        <w:rPr>
          <w:rFonts w:ascii="Calibri" w:eastAsia="Calibri" w:hAnsi="Calibri" w:cs="Times New Roman"/>
        </w:rPr>
        <w:t xml:space="preserve"> payable upfront, and there is no legal aid to assist class members. While the class representative bears the responsibility for payment of the fee, all class members are of course required to contribute. Normally, the class representative coordinates the payments made by class members, but it is also more and more common for the law firm in charge of the action to collect the money, together with their own fee charged up-front. </w:t>
      </w:r>
      <w:proofErr w:type="gramStart"/>
      <w:r>
        <w:rPr>
          <w:rFonts w:ascii="Calibri" w:eastAsia="Calibri" w:hAnsi="Calibri" w:cs="Times New Roman"/>
        </w:rPr>
        <w:t xml:space="preserve">Each class member is responsible for a part of the fee </w:t>
      </w:r>
      <w:r w:rsidR="00984383">
        <w:rPr>
          <w:rFonts w:ascii="Calibri" w:eastAsia="Calibri" w:hAnsi="Calibri" w:cs="Times New Roman"/>
        </w:rPr>
        <w:t>that</w:t>
      </w:r>
      <w:r>
        <w:rPr>
          <w:rFonts w:ascii="Calibri" w:eastAsia="Calibri" w:hAnsi="Calibri" w:cs="Times New Roman"/>
        </w:rPr>
        <w:t xml:space="preserve"> is proportionate to the value of their</w:t>
      </w:r>
      <w:proofErr w:type="gramEnd"/>
      <w:r>
        <w:rPr>
          <w:rFonts w:ascii="Calibri" w:eastAsia="Calibri" w:hAnsi="Calibri" w:cs="Times New Roman"/>
        </w:rPr>
        <w:t xml:space="preserve"> individual claim.  </w:t>
      </w:r>
    </w:p>
    <w:p w14:paraId="31848DAC" w14:textId="77777777" w:rsidR="003D70EE" w:rsidRPr="00A023FF"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Consumer ombudsmen are not required to pay court fees if they act as class representatives. </w:t>
      </w:r>
      <w:r>
        <w:rPr>
          <w:rFonts w:ascii="Calibri" w:eastAsia="Calibri" w:hAnsi="Calibri" w:cs="Times New Roman"/>
        </w:rPr>
        <w:t>Initially it was unclear whether this meant that the entire class also did</w:t>
      </w:r>
      <w:r w:rsidRPr="00A023FF">
        <w:rPr>
          <w:rFonts w:ascii="Calibri" w:eastAsia="Calibri" w:hAnsi="Calibri" w:cs="Times New Roman"/>
        </w:rPr>
        <w:t xml:space="preserve"> not need to pay </w:t>
      </w:r>
      <w:r>
        <w:rPr>
          <w:rFonts w:ascii="Calibri" w:eastAsia="Calibri" w:hAnsi="Calibri" w:cs="Times New Roman"/>
        </w:rPr>
        <w:t>any court fee</w:t>
      </w:r>
      <w:r w:rsidRPr="00A023FF">
        <w:rPr>
          <w:rFonts w:ascii="Calibri" w:eastAsia="Calibri" w:hAnsi="Calibri" w:cs="Times New Roman"/>
        </w:rPr>
        <w:t>. Law firms handling class actions with consumer ombudsmen as representative tend</w:t>
      </w:r>
      <w:r>
        <w:rPr>
          <w:rFonts w:ascii="Calibri" w:eastAsia="Calibri" w:hAnsi="Calibri" w:cs="Times New Roman"/>
        </w:rPr>
        <w:t>ed</w:t>
      </w:r>
      <w:r w:rsidRPr="00A023FF">
        <w:rPr>
          <w:rFonts w:ascii="Calibri" w:eastAsia="Calibri" w:hAnsi="Calibri" w:cs="Times New Roman"/>
        </w:rPr>
        <w:t xml:space="preserve"> to insert into their remune</w:t>
      </w:r>
      <w:r>
        <w:rPr>
          <w:rFonts w:ascii="Calibri" w:eastAsia="Calibri" w:hAnsi="Calibri" w:cs="Times New Roman"/>
        </w:rPr>
        <w:t xml:space="preserve">ration agreement </w:t>
      </w:r>
      <w:r w:rsidRPr="00A023FF">
        <w:rPr>
          <w:rFonts w:ascii="Calibri" w:eastAsia="Calibri" w:hAnsi="Calibri" w:cs="Times New Roman"/>
        </w:rPr>
        <w:t>an obligation</w:t>
      </w:r>
      <w:r>
        <w:rPr>
          <w:rFonts w:ascii="Calibri" w:eastAsia="Calibri" w:hAnsi="Calibri" w:cs="Times New Roman"/>
        </w:rPr>
        <w:t xml:space="preserve"> for the class</w:t>
      </w:r>
      <w:r w:rsidRPr="00A023FF">
        <w:rPr>
          <w:rFonts w:ascii="Calibri" w:eastAsia="Calibri" w:hAnsi="Calibri" w:cs="Times New Roman"/>
        </w:rPr>
        <w:t xml:space="preserve"> to pay </w:t>
      </w:r>
      <w:r>
        <w:rPr>
          <w:rFonts w:ascii="Calibri" w:eastAsia="Calibri" w:hAnsi="Calibri" w:cs="Times New Roman"/>
        </w:rPr>
        <w:t xml:space="preserve">the </w:t>
      </w:r>
      <w:r w:rsidRPr="00A023FF">
        <w:rPr>
          <w:rFonts w:ascii="Calibri" w:eastAsia="Calibri" w:hAnsi="Calibri" w:cs="Times New Roman"/>
        </w:rPr>
        <w:t xml:space="preserve">court fee if it becomes due. </w:t>
      </w:r>
      <w:r>
        <w:rPr>
          <w:rFonts w:ascii="Calibri" w:eastAsia="Calibri" w:hAnsi="Calibri" w:cs="Times New Roman"/>
        </w:rPr>
        <w:t>The position has been somewhat clarified in the decision of the district court of Lodz in the class action of the Regional Consumer Ombudsman for Warsaw against BRE-Bank (</w:t>
      </w:r>
      <w:proofErr w:type="spellStart"/>
      <w:r>
        <w:rPr>
          <w:rFonts w:ascii="Calibri" w:eastAsia="Calibri" w:hAnsi="Calibri" w:cs="Times New Roman"/>
        </w:rPr>
        <w:t>MBank</w:t>
      </w:r>
      <w:proofErr w:type="spellEnd"/>
      <w:r>
        <w:rPr>
          <w:rFonts w:ascii="Calibri" w:eastAsia="Calibri" w:hAnsi="Calibri" w:cs="Times New Roman"/>
        </w:rPr>
        <w:t>).</w:t>
      </w:r>
      <w:r>
        <w:rPr>
          <w:rStyle w:val="FootnoteReference"/>
          <w:rFonts w:ascii="Calibri" w:eastAsia="Calibri" w:hAnsi="Calibri" w:cs="Times New Roman"/>
        </w:rPr>
        <w:footnoteReference w:id="38"/>
      </w:r>
      <w:r>
        <w:rPr>
          <w:rFonts w:ascii="Calibri" w:eastAsia="Calibri" w:hAnsi="Calibri" w:cs="Times New Roman"/>
        </w:rPr>
        <w:t xml:space="preserve"> The Ombudsman won the case, and the court followed the ‘loser pays’ principle by ordering the defendant to cover the unpaid court fees and other costs (including expert fees). Class members were never required to pay any court fees. It is unlikely that they would have been ordered to cover them had they lost the case. It appears that, in the absence of legal aid in class actions, the intention is to aid financially at least those classes who are represented by the consumer ombudsmen. </w:t>
      </w:r>
    </w:p>
    <w:p w14:paraId="24BC6EF0" w14:textId="1528F587" w:rsidR="003D70EE" w:rsidRPr="00A023FF"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Further costs include expert fees. </w:t>
      </w:r>
      <w:proofErr w:type="gramStart"/>
      <w:r w:rsidRPr="00A023FF">
        <w:rPr>
          <w:rFonts w:ascii="Calibri" w:eastAsia="Calibri" w:hAnsi="Calibri" w:cs="Times New Roman"/>
        </w:rPr>
        <w:t>Experts are appointed by the court upon the parties’ request using official lists of expert witnesses</w:t>
      </w:r>
      <w:proofErr w:type="gramEnd"/>
      <w:r w:rsidRPr="00A023FF">
        <w:rPr>
          <w:rFonts w:ascii="Calibri" w:eastAsia="Calibri" w:hAnsi="Calibri" w:cs="Times New Roman"/>
        </w:rPr>
        <w:t>.</w:t>
      </w:r>
      <w:r w:rsidRPr="00A023FF">
        <w:rPr>
          <w:rFonts w:ascii="Calibri" w:eastAsia="Calibri" w:hAnsi="Calibri" w:cs="Times New Roman"/>
          <w:vertAlign w:val="superscript"/>
        </w:rPr>
        <w:footnoteReference w:id="39"/>
      </w:r>
      <w:r w:rsidRPr="00A023FF">
        <w:rPr>
          <w:rFonts w:ascii="Calibri" w:eastAsia="Calibri" w:hAnsi="Calibri" w:cs="Times New Roman"/>
        </w:rPr>
        <w:t xml:space="preserve"> </w:t>
      </w:r>
      <w:proofErr w:type="gramStart"/>
      <w:r w:rsidRPr="00A023FF">
        <w:rPr>
          <w:rFonts w:ascii="Calibri" w:eastAsia="Calibri" w:hAnsi="Calibri" w:cs="Times New Roman"/>
        </w:rPr>
        <w:t>Parties</w:t>
      </w:r>
      <w:proofErr w:type="gramEnd"/>
      <w:r w:rsidRPr="00A023FF">
        <w:rPr>
          <w:rFonts w:ascii="Calibri" w:eastAsia="Calibri" w:hAnsi="Calibri" w:cs="Times New Roman"/>
        </w:rPr>
        <w:t xml:space="preserve"> can of course use their own experts, but their opinions are not treated as evidence and are not part of litigation costs which the court apportions after the litigation is completed. The party requesting an expert opinion from the court must make an advance payment in respect of their fee, otherwise the expert will not be appointed. The </w:t>
      </w:r>
      <w:proofErr w:type="gramStart"/>
      <w:r w:rsidRPr="00A023FF">
        <w:rPr>
          <w:rFonts w:ascii="Calibri" w:eastAsia="Calibri" w:hAnsi="Calibri" w:cs="Times New Roman"/>
        </w:rPr>
        <w:t>final fees of experts are determined by the court taking into account their professional title, knowledge and experience, as well as the time</w:t>
      </w:r>
      <w:proofErr w:type="gramEnd"/>
      <w:r w:rsidRPr="00A023FF">
        <w:rPr>
          <w:rFonts w:ascii="Calibri" w:eastAsia="Calibri" w:hAnsi="Calibri" w:cs="Times New Roman"/>
        </w:rPr>
        <w:t xml:space="preserve"> and effort spent preparing the opinion (which is normally done in writing).</w:t>
      </w:r>
      <w:r w:rsidRPr="00A023FF">
        <w:rPr>
          <w:rFonts w:ascii="Calibri" w:eastAsia="Calibri" w:hAnsi="Calibri" w:cs="Times New Roman"/>
          <w:vertAlign w:val="superscript"/>
        </w:rPr>
        <w:footnoteReference w:id="40"/>
      </w:r>
      <w:r w:rsidRPr="00A023FF">
        <w:rPr>
          <w:rFonts w:ascii="Calibri" w:eastAsia="Calibri" w:hAnsi="Calibri" w:cs="Times New Roman"/>
        </w:rPr>
        <w:t xml:space="preserve"> Experts charge an hourly fee, the base of which is around 23 – 31 PLN and can be increased depending on expertise, seniority, and complexity of the case. Experts can also claim reimbursement of travel costs and accommodation, and certain other expenses. Remuneration of translators and other persons involved in litigation is governed by</w:t>
      </w:r>
      <w:r>
        <w:rPr>
          <w:rFonts w:ascii="Calibri" w:eastAsia="Calibri" w:hAnsi="Calibri" w:cs="Times New Roman"/>
        </w:rPr>
        <w:t xml:space="preserve"> the same principles</w:t>
      </w:r>
      <w:r w:rsidRPr="00A023FF">
        <w:rPr>
          <w:rFonts w:ascii="Calibri" w:eastAsia="Calibri" w:hAnsi="Calibri" w:cs="Times New Roman"/>
        </w:rPr>
        <w:t>.</w:t>
      </w:r>
      <w:r w:rsidRPr="00A023FF">
        <w:rPr>
          <w:rFonts w:ascii="Calibri" w:eastAsia="Calibri" w:hAnsi="Calibri" w:cs="Times New Roman"/>
          <w:vertAlign w:val="superscript"/>
        </w:rPr>
        <w:footnoteReference w:id="41"/>
      </w:r>
      <w:r w:rsidRPr="00A023FF">
        <w:rPr>
          <w:rFonts w:ascii="Calibri" w:eastAsia="Calibri" w:hAnsi="Calibri" w:cs="Times New Roman"/>
        </w:rPr>
        <w:t xml:space="preserve"> Witnesses, while not entitled to remuneration, can claim reimbursement of travel costs and accommodation, as well as compensation for loss of remuneration.</w:t>
      </w:r>
      <w:r w:rsidRPr="00A023FF">
        <w:rPr>
          <w:rFonts w:ascii="Calibri" w:eastAsia="Calibri" w:hAnsi="Calibri" w:cs="Times New Roman"/>
          <w:vertAlign w:val="superscript"/>
        </w:rPr>
        <w:footnoteReference w:id="42"/>
      </w:r>
      <w:r>
        <w:rPr>
          <w:rFonts w:ascii="Calibri" w:eastAsia="Calibri" w:hAnsi="Calibri" w:cs="Times New Roman"/>
        </w:rPr>
        <w:t xml:space="preserve"> </w:t>
      </w:r>
    </w:p>
    <w:p w14:paraId="6BF8B15F" w14:textId="0F9E8F77" w:rsidR="003D70EE" w:rsidRPr="00984383" w:rsidRDefault="00984383" w:rsidP="00026333">
      <w:pPr>
        <w:spacing w:after="200" w:line="276" w:lineRule="auto"/>
        <w:contextualSpacing/>
        <w:jc w:val="both"/>
        <w:rPr>
          <w:rFonts w:ascii="Calibri" w:eastAsia="Calibri" w:hAnsi="Calibri" w:cs="Times New Roman"/>
          <w:b/>
          <w:bCs/>
          <w:caps/>
        </w:rPr>
      </w:pPr>
      <w:r w:rsidRPr="00984383">
        <w:rPr>
          <w:rFonts w:ascii="Calibri" w:eastAsia="Calibri" w:hAnsi="Calibri" w:cs="Times New Roman"/>
          <w:b/>
          <w:bCs/>
          <w:caps/>
        </w:rPr>
        <w:t xml:space="preserve">3. </w:t>
      </w:r>
      <w:r w:rsidR="003D70EE" w:rsidRPr="00984383">
        <w:rPr>
          <w:rFonts w:ascii="Calibri" w:eastAsia="Calibri" w:hAnsi="Calibri" w:cs="Times New Roman"/>
          <w:b/>
          <w:bCs/>
          <w:caps/>
        </w:rPr>
        <w:t>‘Loser pays’ and its implications for class actions:</w:t>
      </w:r>
    </w:p>
    <w:p w14:paraId="3EB96E97" w14:textId="47EEFF73" w:rsidR="003D70EE" w:rsidRPr="00A023FF"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The </w:t>
      </w:r>
      <w:r>
        <w:rPr>
          <w:rFonts w:ascii="Calibri" w:eastAsia="Calibri" w:hAnsi="Calibri" w:cs="Times New Roman"/>
        </w:rPr>
        <w:t>‘</w:t>
      </w:r>
      <w:r w:rsidRPr="00A023FF">
        <w:rPr>
          <w:rFonts w:ascii="Calibri" w:eastAsia="Calibri" w:hAnsi="Calibri" w:cs="Times New Roman"/>
        </w:rPr>
        <w:t>loser pays</w:t>
      </w:r>
      <w:r>
        <w:rPr>
          <w:rFonts w:ascii="Calibri" w:eastAsia="Calibri" w:hAnsi="Calibri" w:cs="Times New Roman"/>
        </w:rPr>
        <w:t>’</w:t>
      </w:r>
      <w:r w:rsidRPr="00A023FF">
        <w:rPr>
          <w:rFonts w:ascii="Calibri" w:eastAsia="Calibri" w:hAnsi="Calibri" w:cs="Times New Roman"/>
        </w:rPr>
        <w:t xml:space="preserve"> rule i</w:t>
      </w:r>
      <w:r w:rsidR="00597EE9">
        <w:rPr>
          <w:rFonts w:ascii="Calibri" w:eastAsia="Calibri" w:hAnsi="Calibri" w:cs="Times New Roman"/>
        </w:rPr>
        <w:t>s the leading principle of cost</w:t>
      </w:r>
      <w:r w:rsidRPr="00A023FF">
        <w:rPr>
          <w:rFonts w:ascii="Calibri" w:eastAsia="Calibri" w:hAnsi="Calibri" w:cs="Times New Roman"/>
        </w:rPr>
        <w:t xml:space="preserve"> allocation in Polish civil proceedings, </w:t>
      </w:r>
      <w:r>
        <w:rPr>
          <w:rFonts w:ascii="Calibri" w:eastAsia="Calibri" w:hAnsi="Calibri" w:cs="Times New Roman"/>
        </w:rPr>
        <w:t>including class actions</w:t>
      </w:r>
      <w:r w:rsidRPr="00A023FF">
        <w:rPr>
          <w:rFonts w:ascii="Calibri" w:eastAsia="Calibri" w:hAnsi="Calibri" w:cs="Times New Roman"/>
        </w:rPr>
        <w:t>. Thus, class members always need to take into account the possible risk of having to pay their opponent’s costs. These costs are not necessarily exorbitant: Polish law establishes a</w:t>
      </w:r>
      <w:r>
        <w:rPr>
          <w:rFonts w:ascii="Calibri" w:eastAsia="Calibri" w:hAnsi="Calibri" w:cs="Times New Roman"/>
        </w:rPr>
        <w:t xml:space="preserve"> tariff system for </w:t>
      </w:r>
      <w:r w:rsidRPr="00A023FF">
        <w:rPr>
          <w:rFonts w:ascii="Calibri" w:eastAsia="Calibri" w:hAnsi="Calibri" w:cs="Times New Roman"/>
        </w:rPr>
        <w:t>lawyers’ fees</w:t>
      </w:r>
      <w:r>
        <w:rPr>
          <w:rFonts w:ascii="Calibri" w:eastAsia="Calibri" w:hAnsi="Calibri" w:cs="Times New Roman"/>
        </w:rPr>
        <w:t xml:space="preserve"> for cost-shifting purposes</w:t>
      </w:r>
      <w:r w:rsidRPr="00A023FF">
        <w:rPr>
          <w:rFonts w:ascii="Calibri" w:eastAsia="Calibri" w:hAnsi="Calibri" w:cs="Times New Roman"/>
        </w:rPr>
        <w:t>.</w:t>
      </w:r>
      <w:r w:rsidRPr="00A023FF">
        <w:rPr>
          <w:rFonts w:ascii="Calibri" w:eastAsia="Calibri" w:hAnsi="Calibri" w:cs="Times New Roman"/>
          <w:vertAlign w:val="superscript"/>
        </w:rPr>
        <w:footnoteReference w:id="43"/>
      </w:r>
      <w:r w:rsidRPr="00A023FF">
        <w:rPr>
          <w:rFonts w:ascii="Calibri" w:eastAsia="Calibri" w:hAnsi="Calibri" w:cs="Times New Roman"/>
        </w:rPr>
        <w:t xml:space="preserve"> </w:t>
      </w:r>
      <w:r>
        <w:rPr>
          <w:rFonts w:ascii="Calibri" w:eastAsia="Calibri" w:hAnsi="Calibri" w:cs="Times New Roman"/>
        </w:rPr>
        <w:t xml:space="preserve">The tariff depends on the type and value of the case, and </w:t>
      </w:r>
      <w:proofErr w:type="gramStart"/>
      <w:r>
        <w:rPr>
          <w:rFonts w:ascii="Calibri" w:eastAsia="Calibri" w:hAnsi="Calibri" w:cs="Times New Roman"/>
        </w:rPr>
        <w:t xml:space="preserve">it can in some cases be multiplied by the court (by a maximum of six times) if </w:t>
      </w:r>
      <w:r w:rsidR="00EF779C">
        <w:rPr>
          <w:rFonts w:ascii="Calibri" w:eastAsia="Calibri" w:hAnsi="Calibri" w:cs="Times New Roman"/>
        </w:rPr>
        <w:t>a</w:t>
      </w:r>
      <w:r>
        <w:rPr>
          <w:rFonts w:ascii="Calibri" w:eastAsia="Calibri" w:hAnsi="Calibri" w:cs="Times New Roman"/>
        </w:rPr>
        <w:t xml:space="preserve"> case is particularly complex or the workload especially heavy</w:t>
      </w:r>
      <w:proofErr w:type="gramEnd"/>
      <w:r>
        <w:rPr>
          <w:rFonts w:ascii="Calibri" w:eastAsia="Calibri" w:hAnsi="Calibri" w:cs="Times New Roman"/>
        </w:rPr>
        <w:t xml:space="preserve">. The existence of the tariff system entails a complex position for litigants: it could be an advantage or a disadvantage to class members. </w:t>
      </w:r>
      <w:r w:rsidRPr="00A023FF">
        <w:rPr>
          <w:rFonts w:ascii="Calibri" w:eastAsia="Calibri" w:hAnsi="Calibri" w:cs="Times New Roman"/>
        </w:rPr>
        <w:t xml:space="preserve"> </w:t>
      </w:r>
    </w:p>
    <w:p w14:paraId="6AD4720A" w14:textId="3204DBF9" w:rsidR="003D70EE" w:rsidRPr="00A023FF"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Let us consider two possible situations </w:t>
      </w:r>
      <w:r w:rsidR="00FB63AC">
        <w:rPr>
          <w:rFonts w:ascii="Calibri" w:eastAsia="Calibri" w:hAnsi="Calibri" w:cs="Times New Roman"/>
        </w:rPr>
        <w:t>that</w:t>
      </w:r>
      <w:r w:rsidRPr="00A023FF">
        <w:rPr>
          <w:rFonts w:ascii="Calibri" w:eastAsia="Calibri" w:hAnsi="Calibri" w:cs="Times New Roman"/>
        </w:rPr>
        <w:t xml:space="preserve"> can occur under</w:t>
      </w:r>
      <w:r>
        <w:rPr>
          <w:rFonts w:ascii="Calibri" w:eastAsia="Calibri" w:hAnsi="Calibri" w:cs="Times New Roman"/>
        </w:rPr>
        <w:t xml:space="preserve"> the </w:t>
      </w:r>
      <w:r w:rsidRPr="00A023FF">
        <w:rPr>
          <w:rFonts w:ascii="Calibri" w:eastAsia="Calibri" w:hAnsi="Calibri" w:cs="Times New Roman"/>
        </w:rPr>
        <w:t xml:space="preserve">Act. </w:t>
      </w:r>
    </w:p>
    <w:p w14:paraId="7327EC01" w14:textId="77777777" w:rsidR="003D70EE" w:rsidRPr="00A023FF" w:rsidRDefault="003D70EE" w:rsidP="003D70EE">
      <w:pPr>
        <w:spacing w:after="200" w:line="276" w:lineRule="auto"/>
        <w:jc w:val="both"/>
        <w:rPr>
          <w:rFonts w:ascii="Calibri" w:eastAsia="Calibri" w:hAnsi="Calibri" w:cs="Times New Roman"/>
        </w:rPr>
      </w:pPr>
      <w:r>
        <w:rPr>
          <w:rFonts w:ascii="Calibri" w:eastAsia="Calibri" w:hAnsi="Calibri" w:cs="Times New Roman"/>
        </w:rPr>
        <w:t xml:space="preserve">Scenario 1: a class </w:t>
      </w:r>
      <w:r w:rsidRPr="00A023FF">
        <w:rPr>
          <w:rFonts w:ascii="Calibri" w:eastAsia="Calibri" w:hAnsi="Calibri" w:cs="Times New Roman"/>
        </w:rPr>
        <w:t xml:space="preserve">concluded a </w:t>
      </w:r>
      <w:r>
        <w:rPr>
          <w:rFonts w:ascii="Calibri" w:eastAsia="Calibri" w:hAnsi="Calibri" w:cs="Times New Roman"/>
        </w:rPr>
        <w:t>success</w:t>
      </w:r>
      <w:r w:rsidRPr="00A023FF">
        <w:rPr>
          <w:rFonts w:ascii="Calibri" w:eastAsia="Calibri" w:hAnsi="Calibri" w:cs="Times New Roman"/>
        </w:rPr>
        <w:t xml:space="preserve"> fee agreement with their lawyer </w:t>
      </w:r>
      <w:r>
        <w:rPr>
          <w:rFonts w:ascii="Calibri" w:eastAsia="Calibri" w:hAnsi="Calibri" w:cs="Times New Roman"/>
        </w:rPr>
        <w:t xml:space="preserve">and </w:t>
      </w:r>
      <w:r w:rsidRPr="00A023FF">
        <w:rPr>
          <w:rFonts w:ascii="Calibri" w:eastAsia="Calibri" w:hAnsi="Calibri" w:cs="Times New Roman"/>
        </w:rPr>
        <w:t>loses the case. Class members do not need to pay their own lawyers</w:t>
      </w:r>
      <w:r>
        <w:rPr>
          <w:rFonts w:ascii="Calibri" w:eastAsia="Calibri" w:hAnsi="Calibri" w:cs="Times New Roman"/>
        </w:rPr>
        <w:t xml:space="preserve"> (unless success fee is only an add-on to an upfront fee)</w:t>
      </w:r>
      <w:r w:rsidRPr="00A023FF">
        <w:rPr>
          <w:rFonts w:ascii="Calibri" w:eastAsia="Calibri" w:hAnsi="Calibri" w:cs="Times New Roman"/>
        </w:rPr>
        <w:t>, but they will still need to cover the costs of the opponent’s lawyers (</w:t>
      </w:r>
      <w:r>
        <w:rPr>
          <w:rFonts w:ascii="Calibri" w:eastAsia="Calibri" w:hAnsi="Calibri" w:cs="Times New Roman"/>
        </w:rPr>
        <w:t>as set out by the tariff system</w:t>
      </w:r>
      <w:r w:rsidRPr="00A023FF">
        <w:rPr>
          <w:rFonts w:ascii="Calibri" w:eastAsia="Calibri" w:hAnsi="Calibri" w:cs="Times New Roman"/>
        </w:rPr>
        <w:t>)</w:t>
      </w:r>
      <w:r>
        <w:rPr>
          <w:rFonts w:ascii="Calibri" w:eastAsia="Calibri" w:hAnsi="Calibri" w:cs="Times New Roman"/>
        </w:rPr>
        <w:t>,</w:t>
      </w:r>
      <w:r w:rsidRPr="00A023FF">
        <w:rPr>
          <w:rFonts w:ascii="Calibri" w:eastAsia="Calibri" w:hAnsi="Calibri" w:cs="Times New Roman"/>
        </w:rPr>
        <w:t xml:space="preserve"> and </w:t>
      </w:r>
      <w:r>
        <w:rPr>
          <w:rFonts w:ascii="Calibri" w:eastAsia="Calibri" w:hAnsi="Calibri" w:cs="Times New Roman"/>
        </w:rPr>
        <w:t xml:space="preserve">any </w:t>
      </w:r>
      <w:r w:rsidRPr="00A023FF">
        <w:rPr>
          <w:rFonts w:ascii="Calibri" w:eastAsia="Calibri" w:hAnsi="Calibri" w:cs="Times New Roman"/>
        </w:rPr>
        <w:t xml:space="preserve">other expenses. </w:t>
      </w:r>
    </w:p>
    <w:p w14:paraId="5D95E4A9" w14:textId="77777777" w:rsidR="003D70EE" w:rsidRPr="00A023FF"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What happens if the class wins? They will normally be entitled to have their lawyers’ fees covered by the losing party. However, if the fee </w:t>
      </w:r>
      <w:r>
        <w:rPr>
          <w:rFonts w:ascii="Calibri" w:eastAsia="Calibri" w:hAnsi="Calibri" w:cs="Times New Roman"/>
        </w:rPr>
        <w:t xml:space="preserve">they paid </w:t>
      </w:r>
      <w:r w:rsidRPr="00A023FF">
        <w:rPr>
          <w:rFonts w:ascii="Calibri" w:eastAsia="Calibri" w:hAnsi="Calibri" w:cs="Times New Roman"/>
        </w:rPr>
        <w:t>is higher than the tariff allows it</w:t>
      </w:r>
      <w:r>
        <w:rPr>
          <w:rFonts w:ascii="Calibri" w:eastAsia="Calibri" w:hAnsi="Calibri" w:cs="Times New Roman"/>
        </w:rPr>
        <w:t xml:space="preserve"> (and the court does not use the power to multiply the amount)</w:t>
      </w:r>
      <w:r w:rsidRPr="00A023FF">
        <w:rPr>
          <w:rFonts w:ascii="Calibri" w:eastAsia="Calibri" w:hAnsi="Calibri" w:cs="Times New Roman"/>
        </w:rPr>
        <w:t xml:space="preserve">, the class members will have to cover the reminder from their own pockets. </w:t>
      </w:r>
    </w:p>
    <w:p w14:paraId="5A7222CD" w14:textId="520999D4" w:rsidR="003D70EE" w:rsidRDefault="003D70EE" w:rsidP="003D70EE">
      <w:pPr>
        <w:spacing w:after="200" w:line="276" w:lineRule="auto"/>
        <w:jc w:val="both"/>
        <w:rPr>
          <w:rFonts w:ascii="Calibri" w:eastAsia="Calibri" w:hAnsi="Calibri" w:cs="Times New Roman"/>
        </w:rPr>
      </w:pPr>
      <w:r w:rsidRPr="00A023FF">
        <w:rPr>
          <w:rFonts w:ascii="Calibri" w:eastAsia="Calibri" w:hAnsi="Calibri" w:cs="Times New Roman"/>
        </w:rPr>
        <w:t xml:space="preserve">Scenario 2: </w:t>
      </w:r>
      <w:r>
        <w:rPr>
          <w:rFonts w:ascii="Calibri" w:eastAsia="Calibri" w:hAnsi="Calibri" w:cs="Times New Roman"/>
        </w:rPr>
        <w:t xml:space="preserve">a </w:t>
      </w:r>
      <w:r w:rsidRPr="00A023FF">
        <w:rPr>
          <w:rFonts w:ascii="Calibri" w:eastAsia="Calibri" w:hAnsi="Calibri" w:cs="Times New Roman"/>
        </w:rPr>
        <w:t>more common situation – the class paid their lawyers up-front and lost the case. They will need to cover the opponent lawyers’ fees (again – as established by the tari</w:t>
      </w:r>
      <w:r>
        <w:rPr>
          <w:rFonts w:ascii="Calibri" w:eastAsia="Calibri" w:hAnsi="Calibri" w:cs="Times New Roman"/>
        </w:rPr>
        <w:t xml:space="preserve">ff system). If the class wins – </w:t>
      </w:r>
      <w:r w:rsidRPr="00A023FF">
        <w:rPr>
          <w:rFonts w:ascii="Calibri" w:eastAsia="Calibri" w:hAnsi="Calibri" w:cs="Times New Roman"/>
        </w:rPr>
        <w:t>they will only be reimbursed what the tariff allows</w:t>
      </w:r>
      <w:r>
        <w:rPr>
          <w:rFonts w:ascii="Calibri" w:eastAsia="Calibri" w:hAnsi="Calibri" w:cs="Times New Roman"/>
        </w:rPr>
        <w:t>, irrespective of what the lawyers were actually paid</w:t>
      </w:r>
      <w:r w:rsidRPr="00A023FF">
        <w:rPr>
          <w:rFonts w:ascii="Calibri" w:eastAsia="Calibri" w:hAnsi="Calibri" w:cs="Times New Roman"/>
        </w:rPr>
        <w:t xml:space="preserve">. </w:t>
      </w:r>
      <w:r>
        <w:rPr>
          <w:rFonts w:ascii="Calibri" w:eastAsia="Calibri" w:hAnsi="Calibri" w:cs="Times New Roman"/>
        </w:rPr>
        <w:t>This was the outcome of the decision in the case against BRE-Bank, mentioned above.</w:t>
      </w:r>
      <w:r>
        <w:rPr>
          <w:rStyle w:val="FootnoteReference"/>
          <w:rFonts w:ascii="Calibri" w:eastAsia="Calibri" w:hAnsi="Calibri" w:cs="Times New Roman"/>
        </w:rPr>
        <w:footnoteReference w:id="44"/>
      </w:r>
      <w:r>
        <w:rPr>
          <w:rFonts w:ascii="Calibri" w:eastAsia="Calibri" w:hAnsi="Calibri" w:cs="Times New Roman"/>
        </w:rPr>
        <w:t xml:space="preserve"> The court awarded the claimant (the Regional Consumer Ombudsman) only around 65,000 PLN for legal costs (the maximum tariff amount of 43,200 PLN, which is 7,200 PLN multiplied by 6 + certain other legal costs and expenses). The class members were not additionally awarded any extra amounts to cover their legal costs. It is clear that the lawyers were paid more than 65,000 PLN by the class members in this case. There were 1,274 class members, and the lawyers required at least 1,000 PLN+45PLN+VAT, which </w:t>
      </w:r>
      <w:proofErr w:type="spellStart"/>
      <w:r>
        <w:rPr>
          <w:rFonts w:ascii="Calibri" w:eastAsia="Calibri" w:hAnsi="Calibri" w:cs="Times New Roman"/>
        </w:rPr>
        <w:t>totaled</w:t>
      </w:r>
      <w:proofErr w:type="spellEnd"/>
      <w:r>
        <w:rPr>
          <w:rFonts w:ascii="Calibri" w:eastAsia="Calibri" w:hAnsi="Calibri" w:cs="Times New Roman"/>
        </w:rPr>
        <w:t xml:space="preserve"> over 1,274PLN from each person. The exact amount depended on the moment of joining (the later a person joined the class, the higher the fee). </w:t>
      </w:r>
    </w:p>
    <w:p w14:paraId="67ADF287" w14:textId="77777777" w:rsidR="003D70EE" w:rsidRPr="00A023FF" w:rsidRDefault="003D70EE" w:rsidP="003D70EE">
      <w:pPr>
        <w:spacing w:after="200" w:line="276" w:lineRule="auto"/>
        <w:jc w:val="both"/>
        <w:rPr>
          <w:rFonts w:ascii="Calibri" w:eastAsia="Calibri" w:hAnsi="Calibri" w:cs="Times New Roman"/>
        </w:rPr>
      </w:pPr>
      <w:r>
        <w:rPr>
          <w:rFonts w:ascii="Calibri" w:eastAsia="Calibri" w:hAnsi="Calibri" w:cs="Times New Roman"/>
        </w:rPr>
        <w:t xml:space="preserve">The decision against BRE-Bank clarifies a number of issues with regard to cost shifting and cost recovery in class actions. First and foremost, the class representative, who formally is the claimant in the case, is the sole addressee of the costs award and recovers legal fees regulated by the tariff. It is of course possible for the representative to then distribute the recovered amount among the class members, but this would be subject to an agreement between the class and the representative and the court does not intervene in these arrangements at the point of making a decision on costs. There is </w:t>
      </w:r>
      <w:proofErr w:type="gramStart"/>
      <w:r>
        <w:rPr>
          <w:rFonts w:ascii="Calibri" w:eastAsia="Calibri" w:hAnsi="Calibri" w:cs="Times New Roman"/>
        </w:rPr>
        <w:t>no</w:t>
      </w:r>
      <w:proofErr w:type="gramEnd"/>
      <w:r>
        <w:rPr>
          <w:rFonts w:ascii="Calibri" w:eastAsia="Calibri" w:hAnsi="Calibri" w:cs="Times New Roman"/>
        </w:rPr>
        <w:t xml:space="preserve"> possibility of the tariff amounts to be multiplied by the number of class members. The class action is seen as one case, and even though the courts may be willing to multiply the tariff (up to six times), they will not go further than this. The multiplication is due to particular complexity and workload entailed by the class action, and not to the number of people in the class.  </w:t>
      </w:r>
    </w:p>
    <w:p w14:paraId="173E2001" w14:textId="77777777" w:rsidR="003D70EE" w:rsidRPr="00A023FF" w:rsidRDefault="003D70EE" w:rsidP="003D70EE">
      <w:pPr>
        <w:spacing w:after="200" w:line="276" w:lineRule="auto"/>
        <w:jc w:val="both"/>
        <w:rPr>
          <w:rFonts w:ascii="Calibri" w:eastAsia="Calibri" w:hAnsi="Calibri" w:cs="Times New Roman"/>
        </w:rPr>
      </w:pPr>
      <w:proofErr w:type="gramStart"/>
      <w:r>
        <w:rPr>
          <w:rFonts w:ascii="Calibri" w:eastAsia="Calibri" w:hAnsi="Calibri" w:cs="Times New Roman"/>
        </w:rPr>
        <w:t>Cost</w:t>
      </w:r>
      <w:r w:rsidRPr="00A023FF">
        <w:rPr>
          <w:rFonts w:ascii="Calibri" w:eastAsia="Calibri" w:hAnsi="Calibri" w:cs="Times New Roman"/>
        </w:rPr>
        <w:t xml:space="preserve"> allocation decisions are taken by court</w:t>
      </w:r>
      <w:r>
        <w:rPr>
          <w:rFonts w:ascii="Calibri" w:eastAsia="Calibri" w:hAnsi="Calibri" w:cs="Times New Roman"/>
        </w:rPr>
        <w:t>s</w:t>
      </w:r>
      <w:r w:rsidRPr="00A023FF">
        <w:rPr>
          <w:rFonts w:ascii="Calibri" w:eastAsia="Calibri" w:hAnsi="Calibri" w:cs="Times New Roman"/>
        </w:rPr>
        <w:t xml:space="preserve"> at the conclusion of proceedings</w:t>
      </w:r>
      <w:proofErr w:type="gramEnd"/>
      <w:r w:rsidRPr="00A023FF">
        <w:rPr>
          <w:rFonts w:ascii="Calibri" w:eastAsia="Calibri" w:hAnsi="Calibri" w:cs="Times New Roman"/>
        </w:rPr>
        <w:t xml:space="preserve"> in each instance. Article 98 of the Code of Civil Procedure specifies that only “reasonably incurred” costs will be reimbursed to the winner. These decisions are subject to the court’s discretion, similarly with the allocation of other costs. According to the Code of Civil Procedure,</w:t>
      </w:r>
      <w:r w:rsidRPr="00A023FF">
        <w:rPr>
          <w:rFonts w:ascii="Calibri" w:eastAsia="Calibri" w:hAnsi="Calibri" w:cs="Times New Roman"/>
          <w:vertAlign w:val="superscript"/>
        </w:rPr>
        <w:footnoteReference w:id="45"/>
      </w:r>
      <w:r w:rsidRPr="00A023FF">
        <w:rPr>
          <w:rFonts w:ascii="Calibri" w:eastAsia="Calibri" w:hAnsi="Calibri" w:cs="Times New Roman"/>
        </w:rPr>
        <w:t xml:space="preserve"> if one of the parties behaved unreasonably, or if the loser’s financial position is difficult, the court may decide not to award costs to the winner, or to reduce the </w:t>
      </w:r>
      <w:proofErr w:type="gramStart"/>
      <w:r w:rsidRPr="00A023FF">
        <w:rPr>
          <w:rFonts w:ascii="Calibri" w:eastAsia="Calibri" w:hAnsi="Calibri" w:cs="Times New Roman"/>
        </w:rPr>
        <w:t>amount which</w:t>
      </w:r>
      <w:proofErr w:type="gramEnd"/>
      <w:r w:rsidRPr="00A023FF">
        <w:rPr>
          <w:rFonts w:ascii="Calibri" w:eastAsia="Calibri" w:hAnsi="Calibri" w:cs="Times New Roman"/>
        </w:rPr>
        <w:t xml:space="preserve"> would normally be awarded.</w:t>
      </w:r>
    </w:p>
    <w:p w14:paraId="28FFE983" w14:textId="5D557B9D" w:rsidR="003D70EE" w:rsidRPr="00984383" w:rsidRDefault="003D70EE" w:rsidP="00B44787">
      <w:pPr>
        <w:spacing w:after="200" w:line="276" w:lineRule="auto"/>
        <w:jc w:val="both"/>
        <w:rPr>
          <w:rFonts w:ascii="Calibri" w:eastAsia="Calibri" w:hAnsi="Calibri" w:cs="Times New Roman"/>
        </w:rPr>
      </w:pPr>
      <w:r w:rsidRPr="00A023FF">
        <w:rPr>
          <w:rFonts w:ascii="Calibri" w:eastAsia="Calibri" w:hAnsi="Calibri" w:cs="Times New Roman"/>
        </w:rPr>
        <w:t>The tariff system and the exceptions from the loser pays rule, albeit subject to judicial discretion, mean that the principle itself and the risks for the class are not as significant as they could be</w:t>
      </w:r>
      <w:r>
        <w:rPr>
          <w:rFonts w:ascii="Calibri" w:eastAsia="Calibri" w:hAnsi="Calibri" w:cs="Times New Roman"/>
        </w:rPr>
        <w:t>, but their position may never be entirely cost-risk-free, even if they win the case</w:t>
      </w:r>
      <w:r w:rsidRPr="00A023FF">
        <w:rPr>
          <w:rFonts w:ascii="Calibri" w:eastAsia="Calibri" w:hAnsi="Calibri" w:cs="Times New Roman"/>
        </w:rPr>
        <w:t xml:space="preserve">. </w:t>
      </w:r>
    </w:p>
    <w:p w14:paraId="7CAE0CA5" w14:textId="0C817440" w:rsidR="003D70EE" w:rsidRPr="00984383" w:rsidRDefault="00984383" w:rsidP="00B44787">
      <w:pPr>
        <w:spacing w:after="200" w:line="276" w:lineRule="auto"/>
        <w:jc w:val="both"/>
        <w:rPr>
          <w:rFonts w:asciiTheme="majorHAnsi" w:eastAsia="Calibri" w:hAnsiTheme="majorHAnsi" w:cs="Times New Roman"/>
          <w:b/>
        </w:rPr>
      </w:pPr>
      <w:r w:rsidRPr="00984383">
        <w:rPr>
          <w:rFonts w:asciiTheme="majorHAnsi" w:eastAsia="Calibri" w:hAnsiTheme="majorHAnsi" w:cs="Times New Roman"/>
          <w:b/>
        </w:rPr>
        <w:t>4. SECURITY FOR COSTS:</w:t>
      </w:r>
    </w:p>
    <w:p w14:paraId="33741100" w14:textId="5CCE86B5" w:rsidR="00984383" w:rsidRPr="003F284D" w:rsidRDefault="006442E6" w:rsidP="00B44787">
      <w:pPr>
        <w:spacing w:after="200" w:line="276" w:lineRule="auto"/>
        <w:jc w:val="both"/>
        <w:rPr>
          <w:rFonts w:asciiTheme="majorHAnsi" w:eastAsia="Calibri" w:hAnsiTheme="majorHAnsi" w:cs="Times New Roman"/>
        </w:rPr>
      </w:pPr>
      <w:r>
        <w:rPr>
          <w:rFonts w:asciiTheme="majorHAnsi" w:eastAsia="Calibri" w:hAnsiTheme="majorHAnsi" w:cs="Times New Roman"/>
        </w:rPr>
        <w:t xml:space="preserve">The final, and very controversial, element of the costs </w:t>
      </w:r>
      <w:r w:rsidR="00AB08EF">
        <w:rPr>
          <w:rFonts w:asciiTheme="majorHAnsi" w:eastAsia="Calibri" w:hAnsiTheme="majorHAnsi" w:cs="Times New Roman"/>
        </w:rPr>
        <w:t>system for Polish class actions</w:t>
      </w:r>
      <w:r>
        <w:rPr>
          <w:rFonts w:asciiTheme="majorHAnsi" w:eastAsia="Calibri" w:hAnsiTheme="majorHAnsi" w:cs="Times New Roman"/>
        </w:rPr>
        <w:t xml:space="preserve"> is security for costs. </w:t>
      </w:r>
      <w:r w:rsidR="00AB505B" w:rsidRPr="003F284D">
        <w:rPr>
          <w:rFonts w:asciiTheme="majorHAnsi" w:eastAsia="Calibri" w:hAnsiTheme="majorHAnsi" w:cs="Times New Roman"/>
        </w:rPr>
        <w:t>The defendant has an option to ask for security for costs, which should be provided by the class representative following judicial approval and can reach up t</w:t>
      </w:r>
      <w:r w:rsidR="0076300E">
        <w:rPr>
          <w:rFonts w:asciiTheme="majorHAnsi" w:eastAsia="Calibri" w:hAnsiTheme="majorHAnsi" w:cs="Times New Roman"/>
        </w:rPr>
        <w:t>o 20% of the value of the case</w:t>
      </w:r>
      <w:r w:rsidR="00AB505B" w:rsidRPr="003F284D">
        <w:rPr>
          <w:rFonts w:asciiTheme="majorHAnsi" w:eastAsia="Calibri" w:hAnsiTheme="majorHAnsi" w:cs="Times New Roman"/>
        </w:rPr>
        <w:t>.</w:t>
      </w:r>
      <w:r w:rsidR="00AB505B" w:rsidRPr="003F284D">
        <w:rPr>
          <w:rFonts w:asciiTheme="majorHAnsi" w:eastAsia="Calibri" w:hAnsiTheme="majorHAnsi" w:cs="Times New Roman"/>
          <w:vertAlign w:val="superscript"/>
        </w:rPr>
        <w:footnoteReference w:id="46"/>
      </w:r>
      <w:r w:rsidR="00AB505B" w:rsidRPr="003F284D">
        <w:rPr>
          <w:rFonts w:asciiTheme="majorHAnsi" w:eastAsia="Calibri" w:hAnsiTheme="majorHAnsi" w:cs="Times New Roman"/>
        </w:rPr>
        <w:t xml:space="preserve"> The court’s decision concerning security for costs can be appealed. The amount requested must be paid within one month from the court’s decision, in </w:t>
      </w:r>
      <w:proofErr w:type="gramStart"/>
      <w:r w:rsidR="00AB505B" w:rsidRPr="003F284D">
        <w:rPr>
          <w:rFonts w:asciiTheme="majorHAnsi" w:eastAsia="Calibri" w:hAnsiTheme="majorHAnsi" w:cs="Times New Roman"/>
        </w:rPr>
        <w:t>cash</w:t>
      </w:r>
      <w:r>
        <w:rPr>
          <w:rFonts w:asciiTheme="majorHAnsi" w:eastAsia="Calibri" w:hAnsiTheme="majorHAnsi" w:cs="Times New Roman"/>
        </w:rPr>
        <w:t>,</w:t>
      </w:r>
      <w:proofErr w:type="gramEnd"/>
      <w:r>
        <w:rPr>
          <w:rFonts w:asciiTheme="majorHAnsi" w:eastAsia="Calibri" w:hAnsiTheme="majorHAnsi" w:cs="Times New Roman"/>
        </w:rPr>
        <w:t xml:space="preserve"> otherwise the suit is rejected by the court</w:t>
      </w:r>
      <w:r w:rsidR="00AB505B" w:rsidRPr="003F284D">
        <w:rPr>
          <w:rFonts w:asciiTheme="majorHAnsi" w:eastAsia="Calibri" w:hAnsiTheme="majorHAnsi" w:cs="Times New Roman"/>
        </w:rPr>
        <w:t xml:space="preserve">. It can be increased later during the proceedings if the circumstances call for it, upon the defendant’s request. </w:t>
      </w:r>
      <w:r>
        <w:rPr>
          <w:rFonts w:asciiTheme="majorHAnsi" w:eastAsia="Calibri" w:hAnsiTheme="majorHAnsi" w:cs="Times New Roman"/>
        </w:rPr>
        <w:t xml:space="preserve">In practice, most defendants ask for security for costs, and most courts deny it. </w:t>
      </w:r>
      <w:r w:rsidR="0076300E">
        <w:rPr>
          <w:rFonts w:asciiTheme="majorHAnsi" w:eastAsia="Calibri" w:hAnsiTheme="majorHAnsi" w:cs="Times New Roman"/>
        </w:rPr>
        <w:t xml:space="preserve">However, the request process normally delays the first stage of the proceedings by up to one year (see below). </w:t>
      </w:r>
    </w:p>
    <w:p w14:paraId="56EFBF66" w14:textId="7B3E2831" w:rsidR="00AB505B" w:rsidRPr="001C74E2" w:rsidRDefault="001C74E2" w:rsidP="00B44787">
      <w:pPr>
        <w:spacing w:line="276" w:lineRule="auto"/>
        <w:rPr>
          <w:rFonts w:asciiTheme="majorHAnsi" w:hAnsiTheme="majorHAnsi"/>
          <w:b/>
        </w:rPr>
      </w:pPr>
      <w:r>
        <w:rPr>
          <w:rFonts w:asciiTheme="majorHAnsi" w:hAnsiTheme="majorHAnsi"/>
          <w:b/>
        </w:rPr>
        <w:t xml:space="preserve">VI. </w:t>
      </w:r>
      <w:r w:rsidR="009504F0" w:rsidRPr="001C74E2">
        <w:rPr>
          <w:rFonts w:asciiTheme="majorHAnsi" w:hAnsiTheme="majorHAnsi"/>
          <w:b/>
        </w:rPr>
        <w:t>STAGES OF THE PROCEEDINGS – PROBLEMS WITH THE LE</w:t>
      </w:r>
      <w:r w:rsidR="00FE1A97">
        <w:rPr>
          <w:rFonts w:asciiTheme="majorHAnsi" w:hAnsiTheme="majorHAnsi"/>
          <w:b/>
        </w:rPr>
        <w:t xml:space="preserve">NGTHY CERTIFICATION AND </w:t>
      </w:r>
      <w:r w:rsidR="009504F0" w:rsidRPr="001C74E2">
        <w:rPr>
          <w:rFonts w:asciiTheme="majorHAnsi" w:hAnsiTheme="majorHAnsi"/>
          <w:b/>
        </w:rPr>
        <w:t>GROUP FORMATION STAGES:</w:t>
      </w:r>
    </w:p>
    <w:p w14:paraId="4C0103B3" w14:textId="03CBDCB7" w:rsidR="00897912" w:rsidRPr="002006CC" w:rsidRDefault="00897912" w:rsidP="00897912">
      <w:pPr>
        <w:pStyle w:val="ListParagraph"/>
        <w:numPr>
          <w:ilvl w:val="0"/>
          <w:numId w:val="10"/>
        </w:numPr>
        <w:spacing w:after="200" w:line="276" w:lineRule="auto"/>
        <w:jc w:val="both"/>
        <w:rPr>
          <w:rFonts w:ascii="Calibri" w:eastAsia="Calibri" w:hAnsi="Calibri" w:cs="Times New Roman"/>
          <w:b/>
        </w:rPr>
      </w:pPr>
      <w:r w:rsidRPr="002006CC">
        <w:rPr>
          <w:rFonts w:ascii="Calibri" w:eastAsia="Calibri" w:hAnsi="Calibri" w:cs="Times New Roman"/>
          <w:b/>
        </w:rPr>
        <w:t>CLASS CERTIFICATION STAGE:</w:t>
      </w:r>
    </w:p>
    <w:p w14:paraId="5CFC925B" w14:textId="682F213A" w:rsidR="00897912" w:rsidRPr="00897912" w:rsidRDefault="00897912" w:rsidP="00897912">
      <w:pPr>
        <w:spacing w:after="200" w:line="276" w:lineRule="auto"/>
        <w:jc w:val="both"/>
        <w:rPr>
          <w:rFonts w:ascii="Calibri" w:eastAsia="Calibri" w:hAnsi="Calibri" w:cs="Times New Roman"/>
        </w:rPr>
      </w:pPr>
      <w:r>
        <w:rPr>
          <w:rFonts w:ascii="Calibri" w:eastAsia="Calibri" w:hAnsi="Calibri" w:cs="Times New Roman"/>
        </w:rPr>
        <w:t>The stage</w:t>
      </w:r>
      <w:r w:rsidR="0085396C" w:rsidRPr="00897912">
        <w:rPr>
          <w:rFonts w:ascii="Calibri" w:eastAsia="Calibri" w:hAnsi="Calibri" w:cs="Times New Roman"/>
        </w:rPr>
        <w:t xml:space="preserve"> starts with a lawsuit brought by a class representative with the assistance of a lawyer. The court notifies the defendant of the lawsuit, </w:t>
      </w:r>
      <w:r w:rsidR="00C845AF">
        <w:rPr>
          <w:rFonts w:ascii="Calibri" w:eastAsia="Calibri" w:hAnsi="Calibri" w:cs="Times New Roman"/>
        </w:rPr>
        <w:t xml:space="preserve">waits for the defendant’s response, </w:t>
      </w:r>
      <w:r w:rsidR="0085396C" w:rsidRPr="00897912">
        <w:rPr>
          <w:rFonts w:ascii="Calibri" w:eastAsia="Calibri" w:hAnsi="Calibri" w:cs="Times New Roman"/>
        </w:rPr>
        <w:t xml:space="preserve">and considers whether all the requirements (mentioned above) have been met and thus whether the class action can be certified. It is also during this stage, and more precisely at the time of the first procedural activity (which in most cases would be the response to the suit), that the defendant can ask for security for costs. </w:t>
      </w:r>
      <w:r>
        <w:rPr>
          <w:rFonts w:ascii="Calibri" w:eastAsia="Calibri" w:hAnsi="Calibri" w:cs="Times New Roman"/>
        </w:rPr>
        <w:t xml:space="preserve">The case will obviously not progress further before the final decision on the issue of security for costs has been finalized (here either party can appeal the decision to the court of appeal). </w:t>
      </w:r>
      <w:proofErr w:type="gramStart"/>
      <w:r w:rsidR="0085396C" w:rsidRPr="00897912">
        <w:rPr>
          <w:rFonts w:ascii="Calibri" w:eastAsia="Calibri" w:hAnsi="Calibri" w:cs="Times New Roman"/>
        </w:rPr>
        <w:t>Lawyers dealing with class actions in Poland comment that this first stage is the longest, most costly and complex.</w:t>
      </w:r>
      <w:proofErr w:type="gramEnd"/>
      <w:r w:rsidR="0085396C">
        <w:rPr>
          <w:rStyle w:val="FootnoteReference"/>
          <w:rFonts w:ascii="Calibri" w:eastAsia="Calibri" w:hAnsi="Calibri" w:cs="Times New Roman"/>
        </w:rPr>
        <w:footnoteReference w:id="47"/>
      </w:r>
      <w:r w:rsidR="0085396C" w:rsidRPr="00897912">
        <w:rPr>
          <w:rFonts w:ascii="Calibri" w:eastAsia="Calibri" w:hAnsi="Calibri" w:cs="Times New Roman"/>
        </w:rPr>
        <w:t xml:space="preserve"> </w:t>
      </w:r>
    </w:p>
    <w:p w14:paraId="12C9A56D" w14:textId="3B523D0B" w:rsidR="0085396C" w:rsidRPr="00A640F8" w:rsidRDefault="0085396C" w:rsidP="0085396C">
      <w:pPr>
        <w:spacing w:after="200" w:line="276" w:lineRule="auto"/>
        <w:jc w:val="both"/>
        <w:rPr>
          <w:rFonts w:ascii="Calibri" w:eastAsia="Calibri" w:hAnsi="Calibri" w:cs="Times New Roman"/>
        </w:rPr>
      </w:pPr>
      <w:r w:rsidRPr="00A640F8">
        <w:rPr>
          <w:rFonts w:ascii="Calibri" w:eastAsia="Calibri" w:hAnsi="Calibri" w:cs="Times New Roman"/>
        </w:rPr>
        <w:t>The decision to certify the class action, which can be appealed, concludes the first stage. The decision contains information about the action, the class representative</w:t>
      </w:r>
      <w:r>
        <w:rPr>
          <w:rFonts w:ascii="Calibri" w:eastAsia="Calibri" w:hAnsi="Calibri" w:cs="Times New Roman"/>
        </w:rPr>
        <w:t>, arrangements concerning remuneration of lawyers</w:t>
      </w:r>
      <w:r w:rsidRPr="00A640F8">
        <w:rPr>
          <w:rFonts w:ascii="Calibri" w:eastAsia="Calibri" w:hAnsi="Calibri" w:cs="Times New Roman"/>
        </w:rPr>
        <w:t>, and the</w:t>
      </w:r>
      <w:r>
        <w:rPr>
          <w:rFonts w:ascii="Calibri" w:eastAsia="Calibri" w:hAnsi="Calibri" w:cs="Times New Roman"/>
        </w:rPr>
        <w:t xml:space="preserve"> names of</w:t>
      </w:r>
      <w:r w:rsidRPr="00A640F8">
        <w:rPr>
          <w:rFonts w:ascii="Calibri" w:eastAsia="Calibri" w:hAnsi="Calibri" w:cs="Times New Roman"/>
        </w:rPr>
        <w:t xml:space="preserve"> class members who joined so far. </w:t>
      </w:r>
    </w:p>
    <w:p w14:paraId="45196789" w14:textId="43D8832A" w:rsidR="00897912" w:rsidRPr="00897912" w:rsidRDefault="00897912" w:rsidP="00897912">
      <w:pPr>
        <w:pStyle w:val="ListParagraph"/>
        <w:numPr>
          <w:ilvl w:val="0"/>
          <w:numId w:val="10"/>
        </w:numPr>
        <w:spacing w:after="200" w:line="276" w:lineRule="auto"/>
        <w:jc w:val="both"/>
        <w:rPr>
          <w:rFonts w:ascii="Calibri" w:eastAsia="Calibri" w:hAnsi="Calibri" w:cs="Times New Roman"/>
        </w:rPr>
      </w:pPr>
      <w:r w:rsidRPr="00897912">
        <w:rPr>
          <w:rFonts w:ascii="Calibri" w:eastAsia="Calibri" w:hAnsi="Calibri" w:cs="Times New Roman"/>
        </w:rPr>
        <w:t>GROUP FORMATION STAGE:</w:t>
      </w:r>
    </w:p>
    <w:p w14:paraId="5CDC1439" w14:textId="1D8A29C6" w:rsidR="0085396C" w:rsidRPr="00897912" w:rsidRDefault="0085396C" w:rsidP="00897912">
      <w:pPr>
        <w:spacing w:after="200" w:line="276" w:lineRule="auto"/>
        <w:jc w:val="both"/>
        <w:rPr>
          <w:rFonts w:ascii="Calibri" w:eastAsia="Calibri" w:hAnsi="Calibri" w:cs="Times New Roman"/>
        </w:rPr>
      </w:pPr>
      <w:r w:rsidRPr="00897912">
        <w:rPr>
          <w:rFonts w:ascii="Calibri" w:eastAsia="Calibri" w:hAnsi="Calibri" w:cs="Times New Roman"/>
        </w:rPr>
        <w:t xml:space="preserve">After the </w:t>
      </w:r>
      <w:r w:rsidR="00897912">
        <w:rPr>
          <w:rFonts w:ascii="Calibri" w:eastAsia="Calibri" w:hAnsi="Calibri" w:cs="Times New Roman"/>
        </w:rPr>
        <w:t xml:space="preserve">certification </w:t>
      </w:r>
      <w:r w:rsidRPr="00897912">
        <w:rPr>
          <w:rFonts w:ascii="Calibri" w:eastAsia="Calibri" w:hAnsi="Calibri" w:cs="Times New Roman"/>
        </w:rPr>
        <w:t xml:space="preserve">decision becomes final (either </w:t>
      </w:r>
      <w:r w:rsidR="00800A6F" w:rsidRPr="00897912">
        <w:rPr>
          <w:rFonts w:ascii="Calibri" w:eastAsia="Calibri" w:hAnsi="Calibri" w:cs="Times New Roman"/>
        </w:rPr>
        <w:t xml:space="preserve">because </w:t>
      </w:r>
      <w:r w:rsidRPr="00897912">
        <w:rPr>
          <w:rFonts w:ascii="Calibri" w:eastAsia="Calibri" w:hAnsi="Calibri" w:cs="Times New Roman"/>
        </w:rPr>
        <w:t xml:space="preserve">it has not been appealed or the appeal did not succeed), the court coordinates activities aimed at notifying all potential class members of the class action: by placing information in national or in regional press. It can also decide that no further notification is required if all potential claimants joined the class already. The second stage focuses on these activities within the time period set out by the court for joining the class. After the time limit passes, the court decides on </w:t>
      </w:r>
      <w:proofErr w:type="gramStart"/>
      <w:r w:rsidRPr="00897912">
        <w:rPr>
          <w:rFonts w:ascii="Calibri" w:eastAsia="Calibri" w:hAnsi="Calibri" w:cs="Times New Roman"/>
        </w:rPr>
        <w:t>who</w:t>
      </w:r>
      <w:proofErr w:type="gramEnd"/>
      <w:r w:rsidRPr="00897912">
        <w:rPr>
          <w:rFonts w:ascii="Calibri" w:eastAsia="Calibri" w:hAnsi="Calibri" w:cs="Times New Roman"/>
        </w:rPr>
        <w:t xml:space="preserve"> the class consists of. </w:t>
      </w:r>
      <w:r w:rsidR="00951090">
        <w:rPr>
          <w:rFonts w:ascii="Calibri" w:eastAsia="Calibri" w:hAnsi="Calibri" w:cs="Times New Roman"/>
        </w:rPr>
        <w:t xml:space="preserve">The defendant can question class membership of specific persons as well as appeal the final decision on the members of the class. </w:t>
      </w:r>
    </w:p>
    <w:p w14:paraId="60CA91B9" w14:textId="3CFB5866" w:rsidR="003A5B78" w:rsidRPr="003A5B78" w:rsidRDefault="003A5B78" w:rsidP="003A5B78">
      <w:pPr>
        <w:pStyle w:val="ListParagraph"/>
        <w:numPr>
          <w:ilvl w:val="0"/>
          <w:numId w:val="10"/>
        </w:numPr>
        <w:spacing w:after="200" w:line="276" w:lineRule="auto"/>
        <w:jc w:val="both"/>
        <w:rPr>
          <w:rFonts w:ascii="Calibri" w:eastAsia="Calibri" w:hAnsi="Calibri" w:cs="Times New Roman"/>
        </w:rPr>
      </w:pPr>
      <w:r w:rsidRPr="003A5B78">
        <w:rPr>
          <w:rFonts w:ascii="Calibri" w:eastAsia="Calibri" w:hAnsi="Calibri" w:cs="Times New Roman"/>
        </w:rPr>
        <w:t>SUBSTANTIVE PROCEEDINGS:</w:t>
      </w:r>
    </w:p>
    <w:p w14:paraId="0200AF72" w14:textId="07BCF572" w:rsidR="0085396C" w:rsidRDefault="003A5B78" w:rsidP="003A5B78">
      <w:pPr>
        <w:spacing w:after="200" w:line="276" w:lineRule="auto"/>
        <w:jc w:val="both"/>
        <w:rPr>
          <w:rFonts w:ascii="Calibri" w:eastAsia="Calibri" w:hAnsi="Calibri" w:cs="Times New Roman"/>
        </w:rPr>
      </w:pPr>
      <w:r>
        <w:rPr>
          <w:rFonts w:ascii="Calibri" w:eastAsia="Calibri" w:hAnsi="Calibri" w:cs="Times New Roman"/>
        </w:rPr>
        <w:t>After the</w:t>
      </w:r>
      <w:r w:rsidR="0085396C" w:rsidRPr="003A5B78">
        <w:rPr>
          <w:rFonts w:ascii="Calibri" w:eastAsia="Calibri" w:hAnsi="Calibri" w:cs="Times New Roman"/>
        </w:rPr>
        <w:t xml:space="preserve"> decision is final, the third stage: the proceedings concerning the substance of the case, begins. The proceedings are concluded by a judgement on substance as well as a decision on costs. </w:t>
      </w:r>
    </w:p>
    <w:p w14:paraId="58715BA2" w14:textId="0FD5335E" w:rsidR="00951090" w:rsidRPr="003A5B78" w:rsidRDefault="00951090" w:rsidP="003A5B78">
      <w:pPr>
        <w:spacing w:after="200" w:line="276" w:lineRule="auto"/>
        <w:jc w:val="both"/>
        <w:rPr>
          <w:rFonts w:ascii="Calibri" w:eastAsia="Calibri" w:hAnsi="Calibri" w:cs="Times New Roman"/>
        </w:rPr>
      </w:pPr>
      <w:r>
        <w:rPr>
          <w:rFonts w:ascii="Calibri" w:eastAsia="Calibri" w:hAnsi="Calibri" w:cs="Times New Roman"/>
        </w:rPr>
        <w:t xml:space="preserve">4. ENFORCEMENT: </w:t>
      </w:r>
    </w:p>
    <w:p w14:paraId="6F5748A1" w14:textId="77777777" w:rsidR="0085396C" w:rsidRDefault="0085396C" w:rsidP="0085396C">
      <w:pPr>
        <w:spacing w:after="200" w:line="276" w:lineRule="auto"/>
        <w:jc w:val="both"/>
        <w:rPr>
          <w:rFonts w:ascii="Calibri" w:eastAsia="Calibri" w:hAnsi="Calibri" w:cs="Times New Roman"/>
        </w:rPr>
      </w:pPr>
      <w:r w:rsidRPr="00A023FF">
        <w:rPr>
          <w:rFonts w:ascii="Calibri" w:eastAsia="Calibri" w:hAnsi="Calibri" w:cs="Times New Roman"/>
        </w:rPr>
        <w:t xml:space="preserve">The fourth and final stage, after the judgement becomes final, is enforcement. The court judgement, </w:t>
      </w:r>
      <w:r>
        <w:rPr>
          <w:rFonts w:ascii="Calibri" w:eastAsia="Calibri" w:hAnsi="Calibri" w:cs="Times New Roman"/>
        </w:rPr>
        <w:t>naming all class members and</w:t>
      </w:r>
      <w:r w:rsidRPr="00A023FF">
        <w:rPr>
          <w:rFonts w:ascii="Calibri" w:eastAsia="Calibri" w:hAnsi="Calibri" w:cs="Times New Roman"/>
        </w:rPr>
        <w:t xml:space="preserve"> specif</w:t>
      </w:r>
      <w:r>
        <w:rPr>
          <w:rFonts w:ascii="Calibri" w:eastAsia="Calibri" w:hAnsi="Calibri" w:cs="Times New Roman"/>
        </w:rPr>
        <w:t>ying</w:t>
      </w:r>
      <w:r w:rsidRPr="00A023FF">
        <w:rPr>
          <w:rFonts w:ascii="Calibri" w:eastAsia="Calibri" w:hAnsi="Calibri" w:cs="Times New Roman"/>
        </w:rPr>
        <w:t xml:space="preserve"> their claims and the amount of damages attributed to them</w:t>
      </w:r>
      <w:r>
        <w:rPr>
          <w:rFonts w:ascii="Calibri" w:eastAsia="Calibri" w:hAnsi="Calibri" w:cs="Times New Roman"/>
        </w:rPr>
        <w:t xml:space="preserve"> (if any)</w:t>
      </w:r>
      <w:r w:rsidRPr="00A023FF">
        <w:rPr>
          <w:rFonts w:ascii="Calibri" w:eastAsia="Calibri" w:hAnsi="Calibri" w:cs="Times New Roman"/>
        </w:rPr>
        <w:t xml:space="preserve">, is the execution title. </w:t>
      </w:r>
    </w:p>
    <w:p w14:paraId="4D57B292" w14:textId="1BE4550F" w:rsidR="00167EF8" w:rsidRPr="00C23C59" w:rsidRDefault="00167EF8" w:rsidP="00AA2DD6">
      <w:pPr>
        <w:pStyle w:val="ListParagraph"/>
        <w:numPr>
          <w:ilvl w:val="0"/>
          <w:numId w:val="12"/>
        </w:numPr>
        <w:spacing w:after="200" w:line="276" w:lineRule="auto"/>
        <w:jc w:val="both"/>
        <w:rPr>
          <w:rFonts w:ascii="Calibri" w:eastAsia="Calibri" w:hAnsi="Calibri" w:cs="Times New Roman"/>
          <w:b/>
        </w:rPr>
      </w:pPr>
      <w:r w:rsidRPr="00C23C59">
        <w:rPr>
          <w:rFonts w:ascii="Calibri" w:eastAsia="Calibri" w:hAnsi="Calibri" w:cs="Times New Roman"/>
          <w:b/>
        </w:rPr>
        <w:t>ASSESSMENT</w:t>
      </w:r>
      <w:r w:rsidR="00AA2DD6" w:rsidRPr="00C23C59">
        <w:rPr>
          <w:rFonts w:ascii="Calibri" w:eastAsia="Calibri" w:hAnsi="Calibri" w:cs="Times New Roman"/>
          <w:b/>
        </w:rPr>
        <w:t xml:space="preserve"> – PROBLEMS WITH LENGTH OF THE FIRST TWO STAGES</w:t>
      </w:r>
      <w:r w:rsidRPr="00C23C59">
        <w:rPr>
          <w:rFonts w:ascii="Calibri" w:eastAsia="Calibri" w:hAnsi="Calibri" w:cs="Times New Roman"/>
          <w:b/>
        </w:rPr>
        <w:t>:</w:t>
      </w:r>
    </w:p>
    <w:p w14:paraId="6F4CD28B" w14:textId="6A11BFFB" w:rsidR="00167EF8" w:rsidRPr="00DB56BE" w:rsidRDefault="00C23C59" w:rsidP="00167EF8">
      <w:pPr>
        <w:spacing w:after="200" w:line="276" w:lineRule="auto"/>
        <w:jc w:val="both"/>
        <w:rPr>
          <w:rFonts w:ascii="Calibri" w:eastAsia="Calibri" w:hAnsi="Calibri" w:cs="Times New Roman"/>
          <w:i/>
        </w:rPr>
      </w:pPr>
      <w:r w:rsidRPr="00DB56BE">
        <w:rPr>
          <w:rFonts w:ascii="Calibri" w:eastAsia="Calibri" w:hAnsi="Calibri" w:cs="Times New Roman"/>
          <w:i/>
        </w:rPr>
        <w:t>The class action</w:t>
      </w:r>
      <w:r w:rsidR="00F20A65" w:rsidRPr="00DB56BE">
        <w:rPr>
          <w:rFonts w:ascii="Calibri" w:eastAsia="Calibri" w:hAnsi="Calibri" w:cs="Times New Roman"/>
          <w:i/>
        </w:rPr>
        <w:t xml:space="preserve"> against BRE-BANK mentioned above</w:t>
      </w:r>
      <w:r w:rsidR="00167EF8" w:rsidRPr="00DB56BE">
        <w:rPr>
          <w:rFonts w:ascii="Calibri" w:eastAsia="Calibri" w:hAnsi="Calibri" w:cs="Times New Roman"/>
          <w:i/>
        </w:rPr>
        <w:t xml:space="preserve"> illustrate</w:t>
      </w:r>
      <w:r w:rsidR="00F20A65" w:rsidRPr="00DB56BE">
        <w:rPr>
          <w:rFonts w:ascii="Calibri" w:eastAsia="Calibri" w:hAnsi="Calibri" w:cs="Times New Roman"/>
          <w:i/>
        </w:rPr>
        <w:t>s</w:t>
      </w:r>
      <w:r w:rsidR="00167EF8" w:rsidRPr="00DB56BE">
        <w:rPr>
          <w:rFonts w:ascii="Calibri" w:eastAsia="Calibri" w:hAnsi="Calibri" w:cs="Times New Roman"/>
          <w:i/>
        </w:rPr>
        <w:t xml:space="preserve"> the problems with such non-flexible, formalistic structure of class action proceedings.</w:t>
      </w:r>
    </w:p>
    <w:p w14:paraId="5BE6B168" w14:textId="4BA1CC89" w:rsidR="00167EF8" w:rsidRPr="00DB56BE" w:rsidRDefault="00167EF8" w:rsidP="00167EF8">
      <w:pPr>
        <w:spacing w:after="200" w:line="276" w:lineRule="auto"/>
        <w:jc w:val="both"/>
        <w:rPr>
          <w:rFonts w:ascii="Calibri" w:eastAsia="Calibri" w:hAnsi="Calibri" w:cs="Times New Roman"/>
          <w:b/>
          <w:i/>
        </w:rPr>
      </w:pPr>
      <w:r w:rsidRPr="00DB56BE">
        <w:rPr>
          <w:rFonts w:ascii="Calibri" w:eastAsia="Calibri" w:hAnsi="Calibri" w:cs="Times New Roman"/>
          <w:b/>
          <w:i/>
        </w:rPr>
        <w:t>Here is the timeline:</w:t>
      </w:r>
    </w:p>
    <w:p w14:paraId="6400B4FA" w14:textId="4D261167" w:rsidR="00167EF8" w:rsidRPr="00DB56BE" w:rsidRDefault="00167EF8" w:rsidP="00167EF8">
      <w:pPr>
        <w:spacing w:after="200" w:line="276" w:lineRule="auto"/>
        <w:jc w:val="both"/>
        <w:rPr>
          <w:rFonts w:ascii="Calibri" w:eastAsia="Calibri" w:hAnsi="Calibri" w:cs="Times New Roman"/>
          <w:i/>
        </w:rPr>
      </w:pPr>
      <w:r w:rsidRPr="00DB56BE">
        <w:rPr>
          <w:rFonts w:ascii="Calibri" w:eastAsia="Calibri" w:hAnsi="Calibri" w:cs="Times New Roman"/>
          <w:i/>
        </w:rPr>
        <w:t>20 December 2010 – class action lawsuit brought before district court</w:t>
      </w:r>
    </w:p>
    <w:p w14:paraId="57254DCA" w14:textId="76CE7549" w:rsidR="00167EF8" w:rsidRPr="00DB56BE" w:rsidRDefault="00167EF8" w:rsidP="00167EF8">
      <w:pPr>
        <w:spacing w:after="200" w:line="276" w:lineRule="auto"/>
        <w:jc w:val="both"/>
        <w:rPr>
          <w:rFonts w:ascii="Calibri" w:eastAsia="Calibri" w:hAnsi="Calibri" w:cs="Times New Roman"/>
          <w:i/>
        </w:rPr>
      </w:pPr>
      <w:r w:rsidRPr="00DB56BE">
        <w:rPr>
          <w:rFonts w:ascii="Calibri" w:eastAsia="Calibri" w:hAnsi="Calibri" w:cs="Times New Roman"/>
          <w:i/>
        </w:rPr>
        <w:t>6 May 2011 – district court certifies class</w:t>
      </w:r>
    </w:p>
    <w:p w14:paraId="10A075A8" w14:textId="5E993DFC" w:rsidR="00167EF8" w:rsidRPr="00DB56BE" w:rsidRDefault="00167EF8" w:rsidP="00167EF8">
      <w:pPr>
        <w:spacing w:after="200" w:line="276" w:lineRule="auto"/>
        <w:jc w:val="both"/>
        <w:rPr>
          <w:rFonts w:ascii="Calibri" w:eastAsia="Calibri" w:hAnsi="Calibri" w:cs="Times New Roman"/>
          <w:i/>
        </w:rPr>
      </w:pPr>
      <w:r w:rsidRPr="00DB56BE">
        <w:rPr>
          <w:rFonts w:ascii="Calibri" w:eastAsia="Calibri" w:hAnsi="Calibri" w:cs="Times New Roman"/>
          <w:i/>
        </w:rPr>
        <w:t>28 September 2011 – appeal court denies the defendant’s appeal against certification – certification final</w:t>
      </w:r>
    </w:p>
    <w:p w14:paraId="6A6C7A35" w14:textId="7BA7D1D1" w:rsidR="00167EF8" w:rsidRPr="00DB56BE" w:rsidRDefault="00167EF8" w:rsidP="00167EF8">
      <w:pPr>
        <w:spacing w:after="200" w:line="276" w:lineRule="auto"/>
        <w:jc w:val="both"/>
        <w:rPr>
          <w:rFonts w:ascii="Calibri" w:eastAsia="Calibri" w:hAnsi="Calibri" w:cs="Times New Roman"/>
          <w:i/>
        </w:rPr>
      </w:pPr>
      <w:r w:rsidRPr="00DB56BE">
        <w:rPr>
          <w:rFonts w:ascii="Calibri" w:eastAsia="Calibri" w:hAnsi="Calibri" w:cs="Times New Roman"/>
          <w:i/>
        </w:rPr>
        <w:t xml:space="preserve">28 December 2011 – the district court issues a decision on the text of the public announcement and its placement in </w:t>
      </w:r>
      <w:proofErr w:type="spellStart"/>
      <w:r w:rsidRPr="00DB56BE">
        <w:rPr>
          <w:rFonts w:ascii="Calibri" w:eastAsia="Calibri" w:hAnsi="Calibri" w:cs="Times New Roman"/>
          <w:i/>
        </w:rPr>
        <w:t>Gazeta</w:t>
      </w:r>
      <w:proofErr w:type="spellEnd"/>
      <w:r w:rsidRPr="00DB56BE">
        <w:rPr>
          <w:rFonts w:ascii="Calibri" w:eastAsia="Calibri" w:hAnsi="Calibri" w:cs="Times New Roman"/>
          <w:i/>
        </w:rPr>
        <w:t xml:space="preserve"> </w:t>
      </w:r>
      <w:proofErr w:type="spellStart"/>
      <w:r w:rsidRPr="00DB56BE">
        <w:rPr>
          <w:rFonts w:ascii="Calibri" w:eastAsia="Calibri" w:hAnsi="Calibri" w:cs="Times New Roman"/>
          <w:i/>
        </w:rPr>
        <w:t>Wyborcza</w:t>
      </w:r>
      <w:proofErr w:type="spellEnd"/>
      <w:r w:rsidRPr="00DB56BE">
        <w:rPr>
          <w:rFonts w:ascii="Calibri" w:eastAsia="Calibri" w:hAnsi="Calibri" w:cs="Times New Roman"/>
          <w:i/>
        </w:rPr>
        <w:t xml:space="preserve"> (a daily newspaper)</w:t>
      </w:r>
    </w:p>
    <w:p w14:paraId="0CBE4D4A" w14:textId="17216098" w:rsidR="00167EF8" w:rsidRPr="00DB56BE" w:rsidRDefault="00167EF8" w:rsidP="00167EF8">
      <w:pPr>
        <w:spacing w:after="200" w:line="276" w:lineRule="auto"/>
        <w:jc w:val="both"/>
        <w:rPr>
          <w:rFonts w:ascii="Calibri" w:eastAsia="Calibri" w:hAnsi="Calibri" w:cs="Times New Roman"/>
          <w:i/>
        </w:rPr>
      </w:pPr>
      <w:r w:rsidRPr="00DB56BE">
        <w:rPr>
          <w:rFonts w:ascii="Calibri" w:eastAsia="Calibri" w:hAnsi="Calibri" w:cs="Times New Roman"/>
          <w:i/>
        </w:rPr>
        <w:t xml:space="preserve">31 January 2012 – publication of the announcement in </w:t>
      </w:r>
      <w:proofErr w:type="spellStart"/>
      <w:r w:rsidRPr="00DB56BE">
        <w:rPr>
          <w:rFonts w:ascii="Calibri" w:eastAsia="Calibri" w:hAnsi="Calibri" w:cs="Times New Roman"/>
          <w:i/>
        </w:rPr>
        <w:t>Gazeta</w:t>
      </w:r>
      <w:proofErr w:type="spellEnd"/>
      <w:r w:rsidRPr="00DB56BE">
        <w:rPr>
          <w:rFonts w:ascii="Calibri" w:eastAsia="Calibri" w:hAnsi="Calibri" w:cs="Times New Roman"/>
          <w:i/>
        </w:rPr>
        <w:t xml:space="preserve"> </w:t>
      </w:r>
      <w:proofErr w:type="spellStart"/>
      <w:r w:rsidRPr="00DB56BE">
        <w:rPr>
          <w:rFonts w:ascii="Calibri" w:eastAsia="Calibri" w:hAnsi="Calibri" w:cs="Times New Roman"/>
          <w:i/>
        </w:rPr>
        <w:t>Wyborcza</w:t>
      </w:r>
      <w:proofErr w:type="spellEnd"/>
    </w:p>
    <w:p w14:paraId="1F944B81" w14:textId="019821B7" w:rsidR="00167EF8" w:rsidRPr="00DB56BE" w:rsidRDefault="003A01BA" w:rsidP="00167EF8">
      <w:pPr>
        <w:spacing w:after="200" w:line="276" w:lineRule="auto"/>
        <w:jc w:val="both"/>
        <w:rPr>
          <w:rFonts w:ascii="Calibri" w:eastAsia="Calibri" w:hAnsi="Calibri" w:cs="Times New Roman"/>
          <w:i/>
        </w:rPr>
      </w:pPr>
      <w:r w:rsidRPr="00DB56BE">
        <w:rPr>
          <w:rFonts w:ascii="Calibri" w:eastAsia="Calibri" w:hAnsi="Calibri" w:cs="Times New Roman"/>
          <w:i/>
        </w:rPr>
        <w:t>6 September 2012 – decision of the district court confirming the final membership of the class</w:t>
      </w:r>
    </w:p>
    <w:p w14:paraId="56E3F0C2" w14:textId="26F413F8" w:rsidR="003A01BA" w:rsidRPr="00DB56BE" w:rsidRDefault="003A01BA" w:rsidP="00167EF8">
      <w:pPr>
        <w:spacing w:after="200" w:line="276" w:lineRule="auto"/>
        <w:jc w:val="both"/>
        <w:rPr>
          <w:rFonts w:ascii="Calibri" w:eastAsia="Calibri" w:hAnsi="Calibri" w:cs="Times New Roman"/>
          <w:i/>
        </w:rPr>
      </w:pPr>
      <w:r w:rsidRPr="00DB56BE">
        <w:rPr>
          <w:rFonts w:ascii="Calibri" w:eastAsia="Calibri" w:hAnsi="Calibri" w:cs="Times New Roman"/>
          <w:i/>
        </w:rPr>
        <w:t>29 November 2012 – the court of appeal denies the defendant’s request for security for costs (FORMALITIES OFFICIALLY COMPLETED – START OF THE SUBSTANTIVE PART OF THE PROCEEDINGS)</w:t>
      </w:r>
    </w:p>
    <w:p w14:paraId="00CF2CBE" w14:textId="245B8D1A" w:rsidR="003A01BA" w:rsidRPr="00DB56BE" w:rsidRDefault="003A01BA" w:rsidP="00167EF8">
      <w:pPr>
        <w:spacing w:after="200" w:line="276" w:lineRule="auto"/>
        <w:jc w:val="both"/>
        <w:rPr>
          <w:rFonts w:ascii="Calibri" w:eastAsia="Calibri" w:hAnsi="Calibri" w:cs="Times New Roman"/>
          <w:i/>
        </w:rPr>
      </w:pPr>
      <w:r w:rsidRPr="00DB56BE">
        <w:rPr>
          <w:rFonts w:ascii="Calibri" w:eastAsia="Calibri" w:hAnsi="Calibri" w:cs="Times New Roman"/>
          <w:i/>
        </w:rPr>
        <w:t>16 June 2013 – the first substantive hearing</w:t>
      </w:r>
    </w:p>
    <w:p w14:paraId="010B2A1F" w14:textId="6DF4BD13" w:rsidR="003A01BA" w:rsidRPr="00DB56BE" w:rsidRDefault="003A01BA" w:rsidP="00167EF8">
      <w:pPr>
        <w:spacing w:after="200" w:line="276" w:lineRule="auto"/>
        <w:jc w:val="both"/>
        <w:rPr>
          <w:rFonts w:ascii="Calibri" w:eastAsia="Calibri" w:hAnsi="Calibri" w:cs="Times New Roman"/>
          <w:i/>
        </w:rPr>
      </w:pPr>
      <w:r w:rsidRPr="00DB56BE">
        <w:rPr>
          <w:rFonts w:ascii="Calibri" w:eastAsia="Calibri" w:hAnsi="Calibri" w:cs="Times New Roman"/>
          <w:i/>
        </w:rPr>
        <w:t>3 July 2013 – first instance decision in favour of claimants</w:t>
      </w:r>
    </w:p>
    <w:p w14:paraId="573E1218" w14:textId="754F9926" w:rsidR="003A01BA" w:rsidRPr="00DB56BE" w:rsidRDefault="003A01BA" w:rsidP="00167EF8">
      <w:pPr>
        <w:spacing w:after="200" w:line="276" w:lineRule="auto"/>
        <w:jc w:val="both"/>
        <w:rPr>
          <w:rFonts w:ascii="Calibri" w:eastAsia="Calibri" w:hAnsi="Calibri" w:cs="Times New Roman"/>
          <w:i/>
        </w:rPr>
      </w:pPr>
      <w:r w:rsidRPr="00DB56BE">
        <w:rPr>
          <w:rFonts w:ascii="Calibri" w:eastAsia="Calibri" w:hAnsi="Calibri" w:cs="Times New Roman"/>
          <w:i/>
        </w:rPr>
        <w:t>30 April 2014 – the court of appeal confirms the first instance decision</w:t>
      </w:r>
      <w:r w:rsidR="00C23C59" w:rsidRPr="00DB56BE">
        <w:rPr>
          <w:rFonts w:ascii="Calibri" w:eastAsia="Calibri" w:hAnsi="Calibri" w:cs="Times New Roman"/>
          <w:i/>
        </w:rPr>
        <w:t xml:space="preserve">. </w:t>
      </w:r>
    </w:p>
    <w:p w14:paraId="245DF0FB" w14:textId="1C73E0CC" w:rsidR="003A01BA" w:rsidRPr="00DB56BE" w:rsidRDefault="003A01BA" w:rsidP="00167EF8">
      <w:pPr>
        <w:spacing w:after="200" w:line="276" w:lineRule="auto"/>
        <w:jc w:val="both"/>
        <w:rPr>
          <w:rFonts w:ascii="Calibri" w:eastAsia="Calibri" w:hAnsi="Calibri" w:cs="Times New Roman"/>
          <w:i/>
        </w:rPr>
      </w:pPr>
      <w:r w:rsidRPr="00DB56BE">
        <w:rPr>
          <w:rFonts w:ascii="Calibri" w:eastAsia="Calibri" w:hAnsi="Calibri" w:cs="Times New Roman"/>
          <w:i/>
        </w:rPr>
        <w:t>Thus, it took 30 months from bringing the case for the first hearing on the substance to take place. The whole procedure from bringing the case to the court of appeal decisio</w:t>
      </w:r>
      <w:bookmarkStart w:id="0" w:name="_GoBack"/>
      <w:bookmarkEnd w:id="0"/>
      <w:r w:rsidRPr="00DB56BE">
        <w:rPr>
          <w:rFonts w:ascii="Calibri" w:eastAsia="Calibri" w:hAnsi="Calibri" w:cs="Times New Roman"/>
          <w:i/>
        </w:rPr>
        <w:t xml:space="preserve">n took 40 months. </w:t>
      </w:r>
      <w:r w:rsidR="001E1703" w:rsidRPr="00DB56BE">
        <w:rPr>
          <w:rFonts w:ascii="Calibri" w:eastAsia="Calibri" w:hAnsi="Calibri" w:cs="Times New Roman"/>
          <w:i/>
        </w:rPr>
        <w:t>When compared with</w:t>
      </w:r>
      <w:r w:rsidRPr="00DB56BE">
        <w:rPr>
          <w:rFonts w:ascii="Calibri" w:eastAsia="Calibri" w:hAnsi="Calibri" w:cs="Times New Roman"/>
          <w:i/>
        </w:rPr>
        <w:t xml:space="preserve"> the average district court case length of 7.8 months this is striking, even considering that class actions are</w:t>
      </w:r>
      <w:r w:rsidR="002006CC" w:rsidRPr="00DB56BE">
        <w:rPr>
          <w:rFonts w:ascii="Calibri" w:eastAsia="Calibri" w:hAnsi="Calibri" w:cs="Times New Roman"/>
          <w:i/>
        </w:rPr>
        <w:t xml:space="preserve"> normally</w:t>
      </w:r>
      <w:r w:rsidRPr="00DB56BE">
        <w:rPr>
          <w:rFonts w:ascii="Calibri" w:eastAsia="Calibri" w:hAnsi="Calibri" w:cs="Times New Roman"/>
          <w:i/>
        </w:rPr>
        <w:t xml:space="preserve"> more complex</w:t>
      </w:r>
      <w:r w:rsidR="002006CC" w:rsidRPr="00DB56BE">
        <w:rPr>
          <w:rFonts w:ascii="Calibri" w:eastAsia="Calibri" w:hAnsi="Calibri" w:cs="Times New Roman"/>
          <w:i/>
        </w:rPr>
        <w:t xml:space="preserve"> than litigation in individual cases</w:t>
      </w:r>
      <w:r w:rsidRPr="00DB56BE">
        <w:rPr>
          <w:rFonts w:ascii="Calibri" w:eastAsia="Calibri" w:hAnsi="Calibri" w:cs="Times New Roman"/>
          <w:i/>
        </w:rPr>
        <w:t xml:space="preserve">. One can, however, question whether it is indeed the formal dimension of class actions that is </w:t>
      </w:r>
      <w:r w:rsidR="001E1703" w:rsidRPr="00DB56BE">
        <w:rPr>
          <w:rFonts w:ascii="Calibri" w:eastAsia="Calibri" w:hAnsi="Calibri" w:cs="Times New Roman"/>
          <w:i/>
        </w:rPr>
        <w:t xml:space="preserve">or should be </w:t>
      </w:r>
      <w:r w:rsidRPr="00DB56BE">
        <w:rPr>
          <w:rFonts w:ascii="Calibri" w:eastAsia="Calibri" w:hAnsi="Calibri" w:cs="Times New Roman"/>
          <w:i/>
        </w:rPr>
        <w:t xml:space="preserve">complex. After all, the substantive part of the proceedings did not take long. </w:t>
      </w:r>
      <w:r w:rsidR="00AF3CE0" w:rsidRPr="00DB56BE">
        <w:rPr>
          <w:rFonts w:ascii="Calibri" w:eastAsia="Calibri" w:hAnsi="Calibri" w:cs="Times New Roman"/>
          <w:i/>
        </w:rPr>
        <w:t xml:space="preserve">Another problem with this particular case, similar to many other class actions brought in Poland, is that this was a liability-only claim. Each individual claimant had to subsequently approach the Bank and individually request payment of compensation. In some cases, further litigation (this time in individual cases) took place, or is still taking place. </w:t>
      </w:r>
    </w:p>
    <w:p w14:paraId="42436602" w14:textId="6A5FF28F" w:rsidR="001146B1" w:rsidRPr="00E8772F" w:rsidRDefault="001146B1" w:rsidP="00167EF8">
      <w:pPr>
        <w:spacing w:after="200" w:line="276" w:lineRule="auto"/>
        <w:jc w:val="both"/>
        <w:rPr>
          <w:rFonts w:ascii="Calibri" w:eastAsia="Calibri" w:hAnsi="Calibri" w:cs="Times New Roman"/>
          <w:b/>
        </w:rPr>
      </w:pPr>
      <w:r>
        <w:rPr>
          <w:rFonts w:ascii="Calibri" w:eastAsia="Calibri" w:hAnsi="Calibri" w:cs="Times New Roman"/>
        </w:rPr>
        <w:t xml:space="preserve">This is by no means a unique case, and a number of others were reported with similar timelines. The complexity, formality and lack of flexibility in the two first stages of proceedings are a problem. </w:t>
      </w:r>
      <w:r w:rsidRPr="00E8772F">
        <w:rPr>
          <w:rFonts w:ascii="Calibri" w:eastAsia="Calibri" w:hAnsi="Calibri" w:cs="Times New Roman"/>
          <w:b/>
        </w:rPr>
        <w:t xml:space="preserve">The answer may come in the amendments proposed by the Ministry </w:t>
      </w:r>
      <w:r w:rsidR="002006CC" w:rsidRPr="00E8772F">
        <w:rPr>
          <w:rFonts w:ascii="Calibri" w:eastAsia="Calibri" w:hAnsi="Calibri" w:cs="Times New Roman"/>
          <w:b/>
        </w:rPr>
        <w:t>for</w:t>
      </w:r>
      <w:r w:rsidRPr="00E8772F">
        <w:rPr>
          <w:rFonts w:ascii="Calibri" w:eastAsia="Calibri" w:hAnsi="Calibri" w:cs="Times New Roman"/>
          <w:b/>
        </w:rPr>
        <w:t xml:space="preserve"> Development. So far it has been announced that </w:t>
      </w:r>
      <w:r w:rsidR="00C51208" w:rsidRPr="00E8772F">
        <w:rPr>
          <w:rFonts w:ascii="Calibri" w:eastAsia="Calibri" w:hAnsi="Calibri" w:cs="Times New Roman"/>
          <w:b/>
        </w:rPr>
        <w:t>the following changes will be introduced:</w:t>
      </w:r>
    </w:p>
    <w:p w14:paraId="7BD0C70A" w14:textId="0C7220E5" w:rsidR="00C51208" w:rsidRPr="00E8772F" w:rsidRDefault="00C51208" w:rsidP="00C51208">
      <w:pPr>
        <w:pStyle w:val="ListParagraph"/>
        <w:numPr>
          <w:ilvl w:val="0"/>
          <w:numId w:val="13"/>
        </w:numPr>
        <w:spacing w:after="200" w:line="276" w:lineRule="auto"/>
        <w:jc w:val="both"/>
        <w:rPr>
          <w:rFonts w:ascii="Calibri" w:eastAsia="Calibri" w:hAnsi="Calibri" w:cs="Times New Roman"/>
          <w:b/>
        </w:rPr>
      </w:pPr>
      <w:r w:rsidRPr="00E8772F">
        <w:rPr>
          <w:rFonts w:ascii="Calibri" w:eastAsia="Calibri" w:hAnsi="Calibri" w:cs="Times New Roman"/>
          <w:b/>
        </w:rPr>
        <w:t xml:space="preserve">Within the first stage (class certification): immediately after the defendant’s response to the claim is received, the court is to set a non-public hearing during which the certification decision will be made. </w:t>
      </w:r>
    </w:p>
    <w:p w14:paraId="17E6CDCE" w14:textId="45D55AD3" w:rsidR="00C51208" w:rsidRPr="00E8772F" w:rsidRDefault="00C51208" w:rsidP="00C51208">
      <w:pPr>
        <w:pStyle w:val="ListParagraph"/>
        <w:numPr>
          <w:ilvl w:val="0"/>
          <w:numId w:val="13"/>
        </w:numPr>
        <w:spacing w:after="200" w:line="276" w:lineRule="auto"/>
        <w:jc w:val="both"/>
        <w:rPr>
          <w:rFonts w:ascii="Calibri" w:eastAsia="Calibri" w:hAnsi="Calibri" w:cs="Times New Roman"/>
          <w:b/>
        </w:rPr>
      </w:pPr>
      <w:r w:rsidRPr="00E8772F">
        <w:rPr>
          <w:rFonts w:ascii="Calibri" w:eastAsia="Calibri" w:hAnsi="Calibri" w:cs="Times New Roman"/>
          <w:b/>
        </w:rPr>
        <w:t xml:space="preserve">Considering the second stage: currently the court cannot start substantive hearings until the defendant’s appeal against the decision establishing the final class membership is decided upon. The amendment will allow the court to start the substantive stage earlier. </w:t>
      </w:r>
    </w:p>
    <w:p w14:paraId="06BE1918" w14:textId="77777777" w:rsidR="00C51208" w:rsidRPr="00C51208" w:rsidRDefault="00C51208" w:rsidP="00C51208">
      <w:pPr>
        <w:spacing w:after="200" w:line="276" w:lineRule="auto"/>
        <w:jc w:val="both"/>
        <w:rPr>
          <w:rFonts w:ascii="Calibri" w:eastAsia="Calibri" w:hAnsi="Calibri" w:cs="Times New Roman"/>
        </w:rPr>
      </w:pPr>
    </w:p>
    <w:p w14:paraId="4879733E" w14:textId="77777777" w:rsidR="009504F0" w:rsidRPr="003F284D" w:rsidRDefault="009504F0" w:rsidP="00B44787">
      <w:pPr>
        <w:spacing w:line="276" w:lineRule="auto"/>
        <w:rPr>
          <w:rFonts w:asciiTheme="majorHAnsi" w:hAnsiTheme="majorHAnsi"/>
        </w:rPr>
      </w:pPr>
    </w:p>
    <w:sectPr w:rsidR="009504F0" w:rsidRPr="003F284D" w:rsidSect="00BF1F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4514" w14:textId="77777777" w:rsidR="002006CC" w:rsidRDefault="002006CC" w:rsidP="00AB505B">
      <w:r>
        <w:separator/>
      </w:r>
    </w:p>
  </w:endnote>
  <w:endnote w:type="continuationSeparator" w:id="0">
    <w:p w14:paraId="5D1B697F" w14:textId="77777777" w:rsidR="002006CC" w:rsidRDefault="002006CC" w:rsidP="00AB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9F25" w14:textId="77777777" w:rsidR="002006CC" w:rsidRDefault="002006CC" w:rsidP="00AB505B">
      <w:r>
        <w:separator/>
      </w:r>
    </w:p>
  </w:footnote>
  <w:footnote w:type="continuationSeparator" w:id="0">
    <w:p w14:paraId="7E2223D3" w14:textId="77777777" w:rsidR="002006CC" w:rsidRDefault="002006CC" w:rsidP="00AB505B">
      <w:r>
        <w:continuationSeparator/>
      </w:r>
    </w:p>
  </w:footnote>
  <w:footnote w:id="1">
    <w:p w14:paraId="38EC945A" w14:textId="0F576EDE" w:rsidR="002006CC" w:rsidRDefault="002006CC">
      <w:pPr>
        <w:pStyle w:val="FootnoteText"/>
      </w:pPr>
      <w:r>
        <w:rPr>
          <w:rStyle w:val="FootnoteReference"/>
        </w:rPr>
        <w:footnoteRef/>
      </w:r>
      <w:r>
        <w:t xml:space="preserve"> Act on Class Actions of 17 December 2009 </w:t>
      </w:r>
      <w:r w:rsidRPr="00F97FB6">
        <w:rPr>
          <w:lang w:val="pl-PL"/>
        </w:rPr>
        <w:t>(</w:t>
      </w:r>
      <w:r w:rsidRPr="00ED5030">
        <w:rPr>
          <w:i/>
          <w:lang w:val="pl-PL"/>
        </w:rPr>
        <w:t>Ustawa o dochodzeniu roszczeń w postępowaniu grupowym</w:t>
      </w:r>
      <w:r w:rsidRPr="00F97FB6">
        <w:rPr>
          <w:lang w:val="pl-PL"/>
        </w:rPr>
        <w:t xml:space="preserve">), </w:t>
      </w:r>
      <w:proofErr w:type="spellStart"/>
      <w:r w:rsidRPr="00F97FB6">
        <w:rPr>
          <w:lang w:val="pl-PL"/>
        </w:rPr>
        <w:t>published</w:t>
      </w:r>
      <w:proofErr w:type="spellEnd"/>
      <w:r w:rsidRPr="00F97FB6">
        <w:rPr>
          <w:lang w:val="pl-PL"/>
        </w:rPr>
        <w:t xml:space="preserve"> in Dziennik Ustaw (</w:t>
      </w:r>
      <w:proofErr w:type="spellStart"/>
      <w:r w:rsidRPr="00F97FB6">
        <w:rPr>
          <w:lang w:val="pl-PL"/>
        </w:rPr>
        <w:t>Journal</w:t>
      </w:r>
      <w:proofErr w:type="spellEnd"/>
      <w:r w:rsidRPr="00F97FB6">
        <w:rPr>
          <w:lang w:val="pl-PL"/>
        </w:rPr>
        <w:t xml:space="preserve"> of </w:t>
      </w:r>
      <w:proofErr w:type="spellStart"/>
      <w:r w:rsidRPr="00F97FB6">
        <w:rPr>
          <w:lang w:val="pl-PL"/>
        </w:rPr>
        <w:t>Laws</w:t>
      </w:r>
      <w:proofErr w:type="spellEnd"/>
      <w:r w:rsidRPr="00F97FB6">
        <w:rPr>
          <w:lang w:val="pl-PL"/>
        </w:rPr>
        <w:t xml:space="preserve">) of 2010, no 7; </w:t>
      </w:r>
      <w:proofErr w:type="spellStart"/>
      <w:r w:rsidRPr="00F97FB6">
        <w:rPr>
          <w:lang w:val="pl-PL"/>
        </w:rPr>
        <w:t>item</w:t>
      </w:r>
      <w:proofErr w:type="spellEnd"/>
      <w:r w:rsidRPr="00F97FB6">
        <w:rPr>
          <w:lang w:val="pl-PL"/>
        </w:rPr>
        <w:t xml:space="preserve">. </w:t>
      </w:r>
      <w:proofErr w:type="gramStart"/>
      <w:r>
        <w:t>44 p. 1.</w:t>
      </w:r>
      <w:proofErr w:type="gramEnd"/>
    </w:p>
  </w:footnote>
  <w:footnote w:id="2">
    <w:p w14:paraId="51232C69" w14:textId="39697D70" w:rsidR="002006CC" w:rsidRDefault="002006CC">
      <w:pPr>
        <w:pStyle w:val="FootnoteText"/>
      </w:pPr>
      <w:r>
        <w:rPr>
          <w:rStyle w:val="FootnoteReference"/>
        </w:rPr>
        <w:footnoteRef/>
      </w:r>
      <w:r>
        <w:t xml:space="preserve"> </w:t>
      </w:r>
      <w:r>
        <w:rPr>
          <w:rFonts w:asciiTheme="majorHAnsi" w:hAnsiTheme="majorHAnsi"/>
          <w:i/>
        </w:rPr>
        <w:t>T</w:t>
      </w:r>
      <w:r>
        <w:rPr>
          <w:rFonts w:asciiTheme="majorHAnsi" w:hAnsiTheme="majorHAnsi"/>
        </w:rPr>
        <w:t xml:space="preserve">he amendments of the Class Actions Act are part of the bundle of amendments to existing laws focused on improving the legal position of creditors in the Polish legal system: </w:t>
      </w:r>
      <w:proofErr w:type="spellStart"/>
      <w:r w:rsidRPr="00D20571">
        <w:rPr>
          <w:rFonts w:asciiTheme="majorHAnsi" w:hAnsiTheme="majorHAnsi"/>
          <w:i/>
        </w:rPr>
        <w:t>Pakiet</w:t>
      </w:r>
      <w:proofErr w:type="spellEnd"/>
      <w:r w:rsidRPr="00D20571">
        <w:rPr>
          <w:rFonts w:asciiTheme="majorHAnsi" w:hAnsiTheme="majorHAnsi"/>
          <w:i/>
        </w:rPr>
        <w:t xml:space="preserve"> </w:t>
      </w:r>
      <w:proofErr w:type="spellStart"/>
      <w:r w:rsidRPr="00D20571">
        <w:rPr>
          <w:rFonts w:asciiTheme="majorHAnsi" w:hAnsiTheme="majorHAnsi"/>
          <w:i/>
        </w:rPr>
        <w:t>Wierzycielski</w:t>
      </w:r>
      <w:proofErr w:type="spellEnd"/>
      <w:r>
        <w:t xml:space="preserve">: </w:t>
      </w:r>
      <w:hyperlink r:id="rId1" w:history="1">
        <w:r w:rsidRPr="00D66F55">
          <w:rPr>
            <w:rStyle w:val="Hyperlink"/>
          </w:rPr>
          <w:t>https://www.mr.gov.pl/media/21040/Pakiet_wierzycielski.pdf</w:t>
        </w:r>
      </w:hyperlink>
      <w:r>
        <w:t xml:space="preserve">, </w:t>
      </w:r>
      <w:hyperlink r:id="rId2" w:history="1">
        <w:r w:rsidRPr="00D66F55">
          <w:rPr>
            <w:rStyle w:val="Hyperlink"/>
          </w:rPr>
          <w:t>http://www.rp.pl/Gospodarka/311259965-MR-zmiany-w-prawie-pomoga-rozwiazac-problemy-z-pozwami-zbiorowymi.html#ap-1</w:t>
        </w:r>
      </w:hyperlink>
      <w:r>
        <w:t xml:space="preserve"> (date of access: 2 December 2016). </w:t>
      </w:r>
    </w:p>
  </w:footnote>
  <w:footnote w:id="3">
    <w:p w14:paraId="71784442" w14:textId="77777777" w:rsidR="002006CC" w:rsidRPr="00F97FB6" w:rsidRDefault="002006CC" w:rsidP="00AB505B">
      <w:pPr>
        <w:pStyle w:val="FootnoteText"/>
      </w:pPr>
      <w:r w:rsidRPr="00F97FB6">
        <w:rPr>
          <w:rStyle w:val="FootnoteReference"/>
        </w:rPr>
        <w:footnoteRef/>
      </w:r>
      <w:r w:rsidRPr="00F97FB6">
        <w:t xml:space="preserve"> Article 4.2. </w:t>
      </w:r>
    </w:p>
  </w:footnote>
  <w:footnote w:id="4">
    <w:p w14:paraId="5A4B6319" w14:textId="3E5AC8F9" w:rsidR="002006CC" w:rsidRPr="00F97FB6" w:rsidRDefault="002006CC" w:rsidP="008B1FCF">
      <w:pPr>
        <w:pStyle w:val="FootnoteText"/>
      </w:pPr>
      <w:r w:rsidRPr="00F97FB6">
        <w:rPr>
          <w:rStyle w:val="FootnoteReference"/>
        </w:rPr>
        <w:footnoteRef/>
      </w:r>
      <w:r w:rsidRPr="00F97FB6">
        <w:t xml:space="preserve"> </w:t>
      </w:r>
      <w:r>
        <w:t xml:space="preserve">The Supreme Court </w:t>
      </w:r>
      <w:proofErr w:type="spellStart"/>
      <w:r>
        <w:t>judgement</w:t>
      </w:r>
      <w:proofErr w:type="spellEnd"/>
      <w:r>
        <w:t xml:space="preserve"> of 13 July 2011 held that mandatory legal representation also applies to consumer ombudsmen</w:t>
      </w:r>
      <w:r w:rsidRPr="00F97FB6">
        <w:t xml:space="preserve"> </w:t>
      </w:r>
      <w:r>
        <w:t>(</w:t>
      </w:r>
      <w:proofErr w:type="spellStart"/>
      <w:r w:rsidRPr="00F97FB6">
        <w:t>uchwała</w:t>
      </w:r>
      <w:proofErr w:type="spellEnd"/>
      <w:r w:rsidRPr="00F97FB6">
        <w:t xml:space="preserve"> SN z </w:t>
      </w:r>
      <w:proofErr w:type="spellStart"/>
      <w:r w:rsidRPr="00F97FB6">
        <w:t>dnia</w:t>
      </w:r>
      <w:proofErr w:type="spellEnd"/>
      <w:r w:rsidRPr="00F97FB6">
        <w:t xml:space="preserve"> 13 </w:t>
      </w:r>
      <w:proofErr w:type="spellStart"/>
      <w:r w:rsidRPr="00F97FB6">
        <w:t>lipca</w:t>
      </w:r>
      <w:proofErr w:type="spellEnd"/>
      <w:r w:rsidRPr="00F97FB6">
        <w:t xml:space="preserve"> 2011 r., </w:t>
      </w:r>
      <w:proofErr w:type="spellStart"/>
      <w:r w:rsidRPr="00F97FB6">
        <w:t>sygn</w:t>
      </w:r>
      <w:proofErr w:type="spellEnd"/>
      <w:r w:rsidRPr="00F97FB6">
        <w:t xml:space="preserve">. </w:t>
      </w:r>
      <w:proofErr w:type="spellStart"/>
      <w:r w:rsidRPr="00F97FB6">
        <w:t>akt</w:t>
      </w:r>
      <w:proofErr w:type="spellEnd"/>
      <w:r w:rsidRPr="00F97FB6">
        <w:t xml:space="preserve"> III CZP 28/11</w:t>
      </w:r>
      <w:r>
        <w:t>)</w:t>
      </w:r>
      <w:r w:rsidRPr="00F97FB6">
        <w:t xml:space="preserve">. </w:t>
      </w:r>
      <w:r>
        <w:t xml:space="preserve">Interestingly, the Court went against the express statement in the official justification for the Act, mentioned above (published in the Parliamentary Note No. 1829 of 26 March 2009), that no legal representation is required when the consumer ombudsmen represent classes. </w:t>
      </w:r>
    </w:p>
  </w:footnote>
  <w:footnote w:id="5">
    <w:p w14:paraId="7C6AA1B1" w14:textId="77777777" w:rsidR="002006CC" w:rsidRPr="00F97FB6" w:rsidRDefault="002006CC" w:rsidP="00775581">
      <w:pPr>
        <w:pStyle w:val="FootnoteText"/>
      </w:pPr>
      <w:r w:rsidRPr="00F97FB6">
        <w:rPr>
          <w:rStyle w:val="FootnoteReference"/>
        </w:rPr>
        <w:footnoteRef/>
      </w:r>
      <w:r w:rsidRPr="00F97FB6">
        <w:t xml:space="preserve"> On the legal aid system in Poland and its reforms see: M. Tulibacka “Poland” in C. Hodges, S. </w:t>
      </w:r>
      <w:proofErr w:type="spellStart"/>
      <w:r w:rsidRPr="00F97FB6">
        <w:t>Vogenauer</w:t>
      </w:r>
      <w:proofErr w:type="spellEnd"/>
      <w:r w:rsidRPr="00F97FB6">
        <w:t xml:space="preserve"> and M. Tulibacka (eds.) “The Costs and Funding of Civil Litigation. A Comparative Perspective”, Oxford: CH Beck; Hart, </w:t>
      </w:r>
      <w:r>
        <w:t xml:space="preserve">2010, </w:t>
      </w:r>
      <w:r w:rsidRPr="00F97FB6">
        <w:t xml:space="preserve">pp. 453 – 466, at pp. 457 – 459. </w:t>
      </w:r>
    </w:p>
  </w:footnote>
  <w:footnote w:id="6">
    <w:p w14:paraId="21CA0681" w14:textId="77777777" w:rsidR="002006CC" w:rsidRPr="00F97FB6" w:rsidRDefault="002006CC" w:rsidP="00775581">
      <w:pPr>
        <w:pStyle w:val="FootnoteText"/>
      </w:pPr>
      <w:r w:rsidRPr="00F97FB6">
        <w:rPr>
          <w:rStyle w:val="FootnoteReference"/>
        </w:rPr>
        <w:footnoteRef/>
      </w:r>
      <w:r w:rsidRPr="00F97FB6">
        <w:t xml:space="preserve"> Not lower than 30 PLN and not higher than 100.000 PLN.</w:t>
      </w:r>
    </w:p>
  </w:footnote>
  <w:footnote w:id="7">
    <w:p w14:paraId="5E68386F" w14:textId="77777777" w:rsidR="002006CC" w:rsidRPr="00F97FB6" w:rsidRDefault="002006CC" w:rsidP="00775581">
      <w:pPr>
        <w:pStyle w:val="FootnoteText"/>
      </w:pPr>
      <w:r w:rsidRPr="00F97FB6">
        <w:rPr>
          <w:rStyle w:val="FootnoteReference"/>
        </w:rPr>
        <w:footnoteRef/>
      </w:r>
      <w:r w:rsidRPr="00F97FB6">
        <w:t xml:space="preserve"> Paragraph 50.3 of the Barristers’ Code of Ethics (</w:t>
      </w:r>
      <w:hyperlink r:id="rId3" w:history="1">
        <w:r w:rsidRPr="00F97FB6">
          <w:rPr>
            <w:rStyle w:val="Hyperlink1"/>
          </w:rPr>
          <w:t>http://www.monitorprawniczy.pl/index.php?mod=m_artykuly&amp;cid=53&amp;id=219&amp;p=4</w:t>
        </w:r>
      </w:hyperlink>
      <w:r w:rsidRPr="00F97FB6">
        <w:t xml:space="preserve"> – accessed on 10</w:t>
      </w:r>
      <w:r w:rsidRPr="00F97FB6">
        <w:rPr>
          <w:vertAlign w:val="superscript"/>
        </w:rPr>
        <w:t>th</w:t>
      </w:r>
      <w:r w:rsidRPr="00F97FB6">
        <w:t xml:space="preserve"> December 2012), and Paragraph 29.3 of the Solicitors’ Code of Ethics (</w:t>
      </w:r>
      <w:hyperlink r:id="rId4" w:history="1">
        <w:r w:rsidRPr="00F97FB6">
          <w:rPr>
            <w:rStyle w:val="Hyperlink1"/>
          </w:rPr>
          <w:t>http://antykorupcja.edu.pl/index.php?mnu=12&amp;app=docs&amp;action=get&amp;iid=9739</w:t>
        </w:r>
      </w:hyperlink>
      <w:r w:rsidRPr="00F97FB6">
        <w:t xml:space="preserve"> – accessed on 10</w:t>
      </w:r>
      <w:r w:rsidRPr="00F97FB6">
        <w:rPr>
          <w:vertAlign w:val="superscript"/>
        </w:rPr>
        <w:t>th</w:t>
      </w:r>
      <w:r w:rsidRPr="00F97FB6">
        <w:t xml:space="preserve"> December 2012) prohibit lawyers from charging success fees unless they are an addition to regular hourly or per-task fees. </w:t>
      </w:r>
    </w:p>
  </w:footnote>
  <w:footnote w:id="8">
    <w:p w14:paraId="164BB4EC" w14:textId="43A79E45" w:rsidR="002006CC" w:rsidRDefault="002006CC">
      <w:pPr>
        <w:pStyle w:val="FootnoteText"/>
      </w:pPr>
      <w:r>
        <w:rPr>
          <w:rStyle w:val="FootnoteReference"/>
        </w:rPr>
        <w:footnoteRef/>
      </w:r>
      <w:r>
        <w:t xml:space="preserve"> Information is available at: </w:t>
      </w:r>
      <w:hyperlink r:id="rId5" w:history="1">
        <w:r w:rsidRPr="00D66F55">
          <w:rPr>
            <w:rStyle w:val="Hyperlink"/>
          </w:rPr>
          <w:t>https://isws.ms.gov.pl/pl/baza-statystyczna/opracowania-wieloletnie/</w:t>
        </w:r>
      </w:hyperlink>
      <w:r>
        <w:t xml:space="preserve"> (date of access: 2 December 2016). </w:t>
      </w:r>
    </w:p>
  </w:footnote>
  <w:footnote w:id="9">
    <w:p w14:paraId="1AFB51F8" w14:textId="086A0837" w:rsidR="002006CC" w:rsidRDefault="002006CC">
      <w:pPr>
        <w:pStyle w:val="FootnoteText"/>
      </w:pPr>
      <w:r>
        <w:rPr>
          <w:rStyle w:val="FootnoteReference"/>
        </w:rPr>
        <w:footnoteRef/>
      </w:r>
      <w:r>
        <w:t xml:space="preserve"> Rejected suits are those that do not meet formal requirements for group claims, and thus they were denied certification. </w:t>
      </w:r>
    </w:p>
  </w:footnote>
  <w:footnote w:id="10">
    <w:p w14:paraId="2DD05B34" w14:textId="7A75A2AE" w:rsidR="002006CC" w:rsidRDefault="002006CC">
      <w:pPr>
        <w:pStyle w:val="FootnoteText"/>
      </w:pPr>
      <w:r>
        <w:rPr>
          <w:rStyle w:val="FootnoteReference"/>
        </w:rPr>
        <w:footnoteRef/>
      </w:r>
      <w:r>
        <w:t xml:space="preserve"> Denied claims are those where the claimants lost the case.  </w:t>
      </w:r>
    </w:p>
  </w:footnote>
  <w:footnote w:id="11">
    <w:p w14:paraId="011D883B" w14:textId="469C2EBE" w:rsidR="002006CC" w:rsidRDefault="002006CC">
      <w:pPr>
        <w:pStyle w:val="FootnoteText"/>
      </w:pPr>
      <w:r>
        <w:rPr>
          <w:rStyle w:val="FootnoteReference"/>
        </w:rPr>
        <w:footnoteRef/>
      </w:r>
      <w:r>
        <w:t xml:space="preserve"> Suits returned to the claimant because of some formal deficiency. </w:t>
      </w:r>
    </w:p>
  </w:footnote>
  <w:footnote w:id="12">
    <w:p w14:paraId="1482AA61" w14:textId="77777777" w:rsidR="002006CC" w:rsidRPr="00F97FB6" w:rsidRDefault="002006CC" w:rsidP="008B1FCF">
      <w:pPr>
        <w:pStyle w:val="FootnoteText"/>
      </w:pPr>
      <w:r w:rsidRPr="00F97FB6">
        <w:rPr>
          <w:rStyle w:val="FootnoteReference"/>
        </w:rPr>
        <w:footnoteRef/>
      </w:r>
      <w:r w:rsidRPr="00F97FB6">
        <w:t xml:space="preserve"> Article 1.1. </w:t>
      </w:r>
    </w:p>
  </w:footnote>
  <w:footnote w:id="13">
    <w:p w14:paraId="1ECF4081" w14:textId="27B6362A" w:rsidR="002006CC" w:rsidRDefault="002006CC">
      <w:pPr>
        <w:pStyle w:val="FootnoteText"/>
      </w:pPr>
      <w:r>
        <w:rPr>
          <w:rStyle w:val="FootnoteReference"/>
        </w:rPr>
        <w:footnoteRef/>
      </w:r>
      <w:r>
        <w:t xml:space="preserve"> Article 1.2. </w:t>
      </w:r>
      <w:r w:rsidRPr="00F97FB6">
        <w:t xml:space="preserve">The concept of </w:t>
      </w:r>
      <w:r>
        <w:t>personal interests</w:t>
      </w:r>
      <w:r w:rsidRPr="00F97FB6">
        <w:t xml:space="preserve"> is not defined in Polish law, but the Civil Code provides a list of examples, such as health, good name or reputat</w:t>
      </w:r>
      <w:r>
        <w:t xml:space="preserve">ion (which is not exhaustive). </w:t>
      </w:r>
      <w:r w:rsidRPr="00F97FB6">
        <w:t xml:space="preserve"> </w:t>
      </w:r>
    </w:p>
  </w:footnote>
  <w:footnote w:id="14">
    <w:p w14:paraId="025D10FA" w14:textId="77777777" w:rsidR="002006CC" w:rsidRPr="00F97FB6" w:rsidRDefault="002006CC" w:rsidP="005A5650">
      <w:pPr>
        <w:pStyle w:val="FootnoteText"/>
      </w:pPr>
      <w:r w:rsidRPr="00F97FB6">
        <w:rPr>
          <w:rStyle w:val="FootnoteReference"/>
        </w:rPr>
        <w:footnoteRef/>
      </w:r>
      <w:r w:rsidRPr="00F97FB6">
        <w:t xml:space="preserve"> Professor A. </w:t>
      </w:r>
      <w:proofErr w:type="spellStart"/>
      <w:r w:rsidRPr="00F97FB6">
        <w:t>Kubas</w:t>
      </w:r>
      <w:proofErr w:type="spellEnd"/>
      <w:r w:rsidRPr="00F97FB6">
        <w:t xml:space="preserve"> of </w:t>
      </w:r>
      <w:proofErr w:type="spellStart"/>
      <w:r w:rsidRPr="00F97FB6">
        <w:t>Kubas</w:t>
      </w:r>
      <w:proofErr w:type="spellEnd"/>
      <w:r w:rsidRPr="00F97FB6">
        <w:t xml:space="preserve">, Kos &amp; </w:t>
      </w:r>
      <w:proofErr w:type="spellStart"/>
      <w:r w:rsidRPr="00F97FB6">
        <w:t>Gaertner</w:t>
      </w:r>
      <w:proofErr w:type="spellEnd"/>
      <w:r w:rsidRPr="00F97FB6">
        <w:t xml:space="preserve">, in an interview, July 2012. On the other hand, employees are certainly not completely </w:t>
      </w:r>
      <w:r>
        <w:t xml:space="preserve">excluded from being able to bring </w:t>
      </w:r>
      <w:r w:rsidRPr="00F97FB6">
        <w:t xml:space="preserve">class actions against their employers. If an action is not based on </w:t>
      </w:r>
      <w:proofErr w:type="spellStart"/>
      <w:r w:rsidRPr="00F97FB6">
        <w:t>labour</w:t>
      </w:r>
      <w:proofErr w:type="spellEnd"/>
      <w:r w:rsidRPr="00F97FB6">
        <w:t xml:space="preserve"> law provisions (for instance if the legal basis of a workplace injury claim is general tort law), a class action is possible: W. </w:t>
      </w:r>
      <w:proofErr w:type="spellStart"/>
      <w:r w:rsidRPr="00F97FB6">
        <w:t>Ostaszewski</w:t>
      </w:r>
      <w:proofErr w:type="spellEnd"/>
      <w:r w:rsidRPr="00F97FB6">
        <w:t xml:space="preserve">, </w:t>
      </w:r>
      <w:proofErr w:type="spellStart"/>
      <w:r w:rsidRPr="00F97FB6">
        <w:t>Rzeczpospolita</w:t>
      </w:r>
      <w:proofErr w:type="spellEnd"/>
      <w:r w:rsidRPr="00F97FB6">
        <w:t>, December 5, 2012 “</w:t>
      </w:r>
      <w:proofErr w:type="spellStart"/>
      <w:r w:rsidRPr="00F97FB6">
        <w:t>Poszkodowani</w:t>
      </w:r>
      <w:proofErr w:type="spellEnd"/>
      <w:r w:rsidRPr="00F97FB6">
        <w:t xml:space="preserve"> w </w:t>
      </w:r>
      <w:proofErr w:type="spellStart"/>
      <w:r w:rsidRPr="00F97FB6">
        <w:t>wypadku</w:t>
      </w:r>
      <w:proofErr w:type="spellEnd"/>
      <w:r w:rsidRPr="00F97FB6">
        <w:t xml:space="preserve"> </w:t>
      </w:r>
      <w:proofErr w:type="spellStart"/>
      <w:r w:rsidRPr="00F97FB6">
        <w:t>przy</w:t>
      </w:r>
      <w:proofErr w:type="spellEnd"/>
      <w:r w:rsidRPr="00F97FB6">
        <w:t xml:space="preserve"> </w:t>
      </w:r>
      <w:proofErr w:type="spellStart"/>
      <w:r w:rsidRPr="00F97FB6">
        <w:t>pracy</w:t>
      </w:r>
      <w:proofErr w:type="spellEnd"/>
      <w:r w:rsidRPr="00F97FB6">
        <w:t xml:space="preserve"> </w:t>
      </w:r>
      <w:proofErr w:type="spellStart"/>
      <w:r w:rsidRPr="00F97FB6">
        <w:t>mogą</w:t>
      </w:r>
      <w:proofErr w:type="spellEnd"/>
      <w:r w:rsidRPr="00F97FB6">
        <w:t xml:space="preserve"> </w:t>
      </w:r>
      <w:proofErr w:type="spellStart"/>
      <w:r w:rsidRPr="00F97FB6">
        <w:t>wystąpić</w:t>
      </w:r>
      <w:proofErr w:type="spellEnd"/>
      <w:r w:rsidRPr="00F97FB6">
        <w:t xml:space="preserve"> z </w:t>
      </w:r>
      <w:proofErr w:type="spellStart"/>
      <w:r w:rsidRPr="00F97FB6">
        <w:t>pozwem</w:t>
      </w:r>
      <w:proofErr w:type="spellEnd"/>
      <w:r w:rsidRPr="00F97FB6">
        <w:t xml:space="preserve"> </w:t>
      </w:r>
      <w:proofErr w:type="spellStart"/>
      <w:r w:rsidRPr="00F97FB6">
        <w:t>zbiorowym</w:t>
      </w:r>
      <w:proofErr w:type="spellEnd"/>
      <w:r w:rsidRPr="00F97FB6">
        <w:t>” (those injured in the work</w:t>
      </w:r>
      <w:r>
        <w:t xml:space="preserve">place can bring a class action) </w:t>
      </w:r>
      <w:hyperlink r:id="rId6" w:history="1">
        <w:r w:rsidRPr="00F97FB6">
          <w:rPr>
            <w:rStyle w:val="Hyperlink1"/>
          </w:rPr>
          <w:t>http://prawo.rp.pl/artykul/792854,958037-Poszkodowani-w-wypadku-przy-pracy-moga-wystapic-z-pozwem-zbiorowym.html</w:t>
        </w:r>
      </w:hyperlink>
      <w:r w:rsidRPr="00F97FB6">
        <w:t xml:space="preserve">. </w:t>
      </w:r>
      <w:r>
        <w:t xml:space="preserve">On the other hand, there have been views that inclusion of these cases would lead to confusion as to the court with the jurisdiction to consider the class actions involving </w:t>
      </w:r>
      <w:proofErr w:type="spellStart"/>
      <w:r>
        <w:t>labour</w:t>
      </w:r>
      <w:proofErr w:type="spellEnd"/>
      <w:r>
        <w:t xml:space="preserve"> disputes – district courts as per all other class actions or local courts as per regular </w:t>
      </w:r>
      <w:proofErr w:type="spellStart"/>
      <w:r>
        <w:t>labour</w:t>
      </w:r>
      <w:proofErr w:type="spellEnd"/>
      <w:r>
        <w:t xml:space="preserve"> disputes (I. </w:t>
      </w:r>
      <w:proofErr w:type="spellStart"/>
      <w:r>
        <w:t>Gabrysiak</w:t>
      </w:r>
      <w:proofErr w:type="spellEnd"/>
      <w:r>
        <w:t xml:space="preserve">, reported in </w:t>
      </w:r>
      <w:r w:rsidRPr="002574A3">
        <w:t xml:space="preserve">M. </w:t>
      </w:r>
      <w:proofErr w:type="spellStart"/>
      <w:r w:rsidRPr="002574A3">
        <w:t>Suchorabski</w:t>
      </w:r>
      <w:proofErr w:type="spellEnd"/>
      <w:r w:rsidRPr="002574A3">
        <w:t xml:space="preserve"> “</w:t>
      </w:r>
      <w:proofErr w:type="spellStart"/>
      <w:r w:rsidRPr="002574A3">
        <w:t>Pozwy</w:t>
      </w:r>
      <w:proofErr w:type="spellEnd"/>
      <w:r w:rsidRPr="002574A3">
        <w:t xml:space="preserve"> </w:t>
      </w:r>
      <w:proofErr w:type="spellStart"/>
      <w:r w:rsidRPr="002574A3">
        <w:t>zbiorowe</w:t>
      </w:r>
      <w:proofErr w:type="spellEnd"/>
      <w:r w:rsidRPr="002574A3">
        <w:t>…”</w:t>
      </w:r>
      <w:r>
        <w:t xml:space="preserve">). </w:t>
      </w:r>
    </w:p>
  </w:footnote>
  <w:footnote w:id="15">
    <w:p w14:paraId="4760ED55" w14:textId="77777777" w:rsidR="002006CC" w:rsidRDefault="002006CC" w:rsidP="005A5650">
      <w:pPr>
        <w:pStyle w:val="FootnoteText"/>
      </w:pPr>
      <w:r>
        <w:rPr>
          <w:rStyle w:val="FootnoteReference"/>
        </w:rPr>
        <w:footnoteRef/>
      </w:r>
      <w:r>
        <w:t xml:space="preserve"> These can in some cases be permissible – see below. </w:t>
      </w:r>
    </w:p>
  </w:footnote>
  <w:footnote w:id="16">
    <w:p w14:paraId="1872408F" w14:textId="77777777" w:rsidR="002006CC" w:rsidRPr="00F97FB6" w:rsidRDefault="002006CC" w:rsidP="007F0CE4">
      <w:pPr>
        <w:pStyle w:val="FootnoteText"/>
      </w:pPr>
      <w:r w:rsidRPr="00F97FB6">
        <w:rPr>
          <w:rStyle w:val="FootnoteReference"/>
        </w:rPr>
        <w:footnoteRef/>
      </w:r>
      <w:r w:rsidRPr="00F97FB6">
        <w:t xml:space="preserve"> </w:t>
      </w:r>
      <w:proofErr w:type="gramStart"/>
      <w:r w:rsidRPr="00F97FB6">
        <w:t>The Report of the Helsinki Foundation, at pp. 6, 7.</w:t>
      </w:r>
      <w:proofErr w:type="gramEnd"/>
      <w:r w:rsidRPr="00F97FB6">
        <w:t xml:space="preserve"> </w:t>
      </w:r>
      <w:proofErr w:type="spellStart"/>
      <w:r w:rsidRPr="00F97FB6">
        <w:t>Jaworski</w:t>
      </w:r>
      <w:proofErr w:type="spellEnd"/>
      <w:r w:rsidRPr="00F97FB6">
        <w:t xml:space="preserve"> and </w:t>
      </w:r>
      <w:proofErr w:type="spellStart"/>
      <w:r w:rsidRPr="00F97FB6">
        <w:t>Radzimierski</w:t>
      </w:r>
      <w:proofErr w:type="spellEnd"/>
      <w:r w:rsidRPr="00F97FB6">
        <w:t xml:space="preserve"> – two academics who wrote the official commentary of the Act, supposed that another reason for the exclusion was the fear of possible class actions against the media and thus a potential </w:t>
      </w:r>
      <w:r>
        <w:t xml:space="preserve">threat </w:t>
      </w:r>
      <w:r w:rsidRPr="00F97FB6">
        <w:t xml:space="preserve">of restrictions on free press (Por. </w:t>
      </w:r>
      <w:proofErr w:type="spellStart"/>
      <w:r w:rsidRPr="00F97FB6">
        <w:t>T.Jaworski</w:t>
      </w:r>
      <w:proofErr w:type="spellEnd"/>
      <w:r w:rsidRPr="00F97FB6">
        <w:t xml:space="preserve">, </w:t>
      </w:r>
      <w:proofErr w:type="spellStart"/>
      <w:r w:rsidRPr="00F97FB6">
        <w:t>P.Radzimierski</w:t>
      </w:r>
      <w:proofErr w:type="spellEnd"/>
      <w:r w:rsidRPr="00F97FB6">
        <w:t>, “</w:t>
      </w:r>
      <w:proofErr w:type="spellStart"/>
      <w:r w:rsidRPr="00F97FB6">
        <w:t>Ustawa</w:t>
      </w:r>
      <w:proofErr w:type="spellEnd"/>
      <w:r w:rsidRPr="00F97FB6">
        <w:t xml:space="preserve"> o </w:t>
      </w:r>
      <w:proofErr w:type="spellStart"/>
      <w:r w:rsidRPr="00F97FB6">
        <w:t>dochodzeniu</w:t>
      </w:r>
      <w:proofErr w:type="spellEnd"/>
      <w:r w:rsidRPr="00F97FB6">
        <w:t xml:space="preserve"> </w:t>
      </w:r>
      <w:proofErr w:type="spellStart"/>
      <w:r w:rsidRPr="00F97FB6">
        <w:t>roszczeń</w:t>
      </w:r>
      <w:proofErr w:type="spellEnd"/>
      <w:r w:rsidRPr="00F97FB6">
        <w:t xml:space="preserve"> w </w:t>
      </w:r>
      <w:proofErr w:type="spellStart"/>
      <w:r w:rsidRPr="00F97FB6">
        <w:t>postępowaniu</w:t>
      </w:r>
      <w:proofErr w:type="spellEnd"/>
      <w:r w:rsidRPr="00F97FB6">
        <w:t xml:space="preserve"> </w:t>
      </w:r>
      <w:proofErr w:type="spellStart"/>
      <w:proofErr w:type="gramStart"/>
      <w:r w:rsidRPr="00F97FB6">
        <w:t>grupowym.Komentarz</w:t>
      </w:r>
      <w:proofErr w:type="spellEnd"/>
      <w:proofErr w:type="gramEnd"/>
      <w:r w:rsidRPr="00F97FB6">
        <w:t xml:space="preserve">”, Warszawa, 2010,Wydawnictwo </w:t>
      </w:r>
      <w:proofErr w:type="spellStart"/>
      <w:r w:rsidRPr="00F97FB6">
        <w:t>C.H.Beck</w:t>
      </w:r>
      <w:proofErr w:type="spellEnd"/>
      <w:r w:rsidRPr="00F97FB6">
        <w:t xml:space="preserve">, p.66). </w:t>
      </w:r>
    </w:p>
  </w:footnote>
  <w:footnote w:id="17">
    <w:p w14:paraId="2D499A3E" w14:textId="77777777" w:rsidR="002006CC" w:rsidRPr="0015143F" w:rsidRDefault="002006CC" w:rsidP="007F0CE4">
      <w:pPr>
        <w:pStyle w:val="FootnoteText"/>
      </w:pPr>
      <w:r w:rsidRPr="00F97FB6">
        <w:rPr>
          <w:rStyle w:val="FootnoteReference"/>
        </w:rPr>
        <w:footnoteRef/>
      </w:r>
      <w:r w:rsidRPr="00F97FB6">
        <w:t xml:space="preserve"> </w:t>
      </w:r>
      <w:proofErr w:type="gramStart"/>
      <w:r w:rsidRPr="00F97FB6">
        <w:t>Article 23 of the Civil Code.</w:t>
      </w:r>
      <w:proofErr w:type="gramEnd"/>
      <w:r w:rsidRPr="00F97FB6">
        <w:t xml:space="preserve"> </w:t>
      </w:r>
      <w:r>
        <w:t xml:space="preserve">On their protection in Polish tort law see forthcoming: E. </w:t>
      </w:r>
      <w:proofErr w:type="spellStart"/>
      <w:r>
        <w:t>Baginska</w:t>
      </w:r>
      <w:proofErr w:type="spellEnd"/>
      <w:r>
        <w:t xml:space="preserve">, M. Tulibacka, “Poland”, in </w:t>
      </w:r>
      <w:r>
        <w:rPr>
          <w:i/>
        </w:rPr>
        <w:t xml:space="preserve">International </w:t>
      </w:r>
      <w:proofErr w:type="spellStart"/>
      <w:r>
        <w:rPr>
          <w:i/>
        </w:rPr>
        <w:t>Encyclopaedia</w:t>
      </w:r>
      <w:proofErr w:type="spellEnd"/>
      <w:r>
        <w:rPr>
          <w:i/>
        </w:rPr>
        <w:t xml:space="preserve"> of Laws: Tort Law, </w:t>
      </w:r>
      <w:r>
        <w:t xml:space="preserve">Edited by Ingrid Boone, Alphen </w:t>
      </w:r>
      <w:proofErr w:type="spellStart"/>
      <w:r>
        <w:t>aan</w:t>
      </w:r>
      <w:proofErr w:type="spellEnd"/>
      <w:r>
        <w:t xml:space="preserve"> den Rijn, NL: Kluwer Law International, 2014. </w:t>
      </w:r>
    </w:p>
  </w:footnote>
  <w:footnote w:id="18">
    <w:p w14:paraId="069A78CA" w14:textId="77777777" w:rsidR="002006CC" w:rsidRPr="00F97FB6" w:rsidRDefault="002006CC" w:rsidP="00B44787">
      <w:pPr>
        <w:pStyle w:val="FootnoteText"/>
      </w:pPr>
      <w:r w:rsidRPr="00F97FB6">
        <w:rPr>
          <w:rStyle w:val="FootnoteReference"/>
        </w:rPr>
        <w:footnoteRef/>
      </w:r>
      <w:r w:rsidRPr="00F97FB6">
        <w:t xml:space="preserve"> </w:t>
      </w:r>
      <w:proofErr w:type="gramStart"/>
      <w:r w:rsidRPr="00F97FB6">
        <w:t>Decision of 8 April 2011, II C 121/11.</w:t>
      </w:r>
      <w:proofErr w:type="gramEnd"/>
      <w:r w:rsidRPr="00F97FB6">
        <w:t xml:space="preserve"> Not published. The collapse caused deaths and injuries. 16 victims and their families brought the class action in 2010. The judge made it clear that his decision by no means reflects the value of individual claims of each victim/family. His decision only concerned suitability of the class actions procedure for these claims. </w:t>
      </w:r>
    </w:p>
  </w:footnote>
  <w:footnote w:id="19">
    <w:p w14:paraId="1AB6CDE7" w14:textId="77777777" w:rsidR="002006CC" w:rsidRDefault="002006CC" w:rsidP="00B44787">
      <w:pPr>
        <w:pStyle w:val="FootnoteText"/>
      </w:pPr>
      <w:r>
        <w:rPr>
          <w:rStyle w:val="FootnoteReference"/>
        </w:rPr>
        <w:footnoteRef/>
      </w:r>
      <w:r>
        <w:t xml:space="preserve"> The Supreme Court considers cassations from final decisions of ordinary courts. They are brought by parties to litigation or by certain public bodies (for instance the Public Prosecutor), where the allegation is a breach of substantive law (its interpretation or application) or procedural law (if it had a material impact on the impact of the case) by the court making the decision. The fact that the Supreme Court did not get involved in this issue means that, for the time being at least, the status quo remains as understood by the courts in this case. </w:t>
      </w:r>
    </w:p>
  </w:footnote>
  <w:footnote w:id="20">
    <w:p w14:paraId="21C8E094" w14:textId="77777777" w:rsidR="002006CC" w:rsidRPr="00F97FB6" w:rsidRDefault="002006CC" w:rsidP="00AB505B">
      <w:pPr>
        <w:pStyle w:val="FootnoteText"/>
      </w:pPr>
      <w:r w:rsidRPr="00F97FB6">
        <w:rPr>
          <w:rStyle w:val="FootnoteReference"/>
        </w:rPr>
        <w:footnoteRef/>
      </w:r>
      <w:r w:rsidRPr="00F97FB6">
        <w:t xml:space="preserve"> </w:t>
      </w:r>
      <w:proofErr w:type="gramStart"/>
      <w:r w:rsidRPr="00F97FB6">
        <w:t>Article 2.1 and 2.2.</w:t>
      </w:r>
      <w:proofErr w:type="gramEnd"/>
      <w:r w:rsidRPr="00F97FB6">
        <w:t xml:space="preserve"> </w:t>
      </w:r>
    </w:p>
  </w:footnote>
  <w:footnote w:id="21">
    <w:p w14:paraId="2252E44D" w14:textId="77777777" w:rsidR="002006CC" w:rsidRPr="00F97FB6" w:rsidRDefault="002006CC" w:rsidP="00E81A55">
      <w:pPr>
        <w:pStyle w:val="FootnoteText"/>
      </w:pPr>
      <w:r w:rsidRPr="00F97FB6">
        <w:rPr>
          <w:rStyle w:val="FootnoteReference"/>
        </w:rPr>
        <w:footnoteRef/>
      </w:r>
      <w:r w:rsidRPr="00F97FB6">
        <w:t xml:space="preserve"> Article 2.3. </w:t>
      </w:r>
    </w:p>
  </w:footnote>
  <w:footnote w:id="22">
    <w:p w14:paraId="2F826CB6" w14:textId="77777777" w:rsidR="002006CC" w:rsidRPr="00F97FB6" w:rsidRDefault="002006CC" w:rsidP="00770B18">
      <w:pPr>
        <w:pStyle w:val="FootnoteText"/>
      </w:pPr>
      <w:r w:rsidRPr="00F97FB6">
        <w:rPr>
          <w:rStyle w:val="FootnoteReference"/>
        </w:rPr>
        <w:footnoteRef/>
      </w:r>
      <w:r w:rsidRPr="00F97FB6">
        <w:t xml:space="preserve"> Case brought against the State Treasury (and precisely: against the </w:t>
      </w:r>
      <w:proofErr w:type="spellStart"/>
      <w:r w:rsidRPr="00F97FB6">
        <w:t>Wojewoda</w:t>
      </w:r>
      <w:proofErr w:type="spellEnd"/>
      <w:r w:rsidRPr="00F97FB6">
        <w:t xml:space="preserve"> of the </w:t>
      </w:r>
      <w:proofErr w:type="spellStart"/>
      <w:r w:rsidRPr="00F97FB6">
        <w:t>Świętokrzyski</w:t>
      </w:r>
      <w:proofErr w:type="spellEnd"/>
      <w:r w:rsidRPr="00F97FB6">
        <w:t xml:space="preserve"> district, as well as the Regional Director of Water Management in </w:t>
      </w:r>
      <w:proofErr w:type="spellStart"/>
      <w:r w:rsidRPr="00F97FB6">
        <w:t>Kraków</w:t>
      </w:r>
      <w:proofErr w:type="spellEnd"/>
      <w:r w:rsidRPr="00F97FB6">
        <w:t xml:space="preserve">) and against the local authorities of the </w:t>
      </w:r>
      <w:proofErr w:type="spellStart"/>
      <w:r w:rsidRPr="00F97FB6">
        <w:t>Świętokrzyski</w:t>
      </w:r>
      <w:proofErr w:type="spellEnd"/>
      <w:r w:rsidRPr="00F97FB6">
        <w:t xml:space="preserve"> district responsible for management and maintenance of water infrastructure in the district.</w:t>
      </w:r>
    </w:p>
  </w:footnote>
  <w:footnote w:id="23">
    <w:p w14:paraId="399148B3" w14:textId="77777777" w:rsidR="002006CC" w:rsidRPr="00F97FB6" w:rsidRDefault="002006CC" w:rsidP="00770B18">
      <w:pPr>
        <w:pStyle w:val="FootnoteText"/>
      </w:pPr>
      <w:r w:rsidRPr="00F97FB6">
        <w:rPr>
          <w:rStyle w:val="FootnoteReference"/>
        </w:rPr>
        <w:footnoteRef/>
      </w:r>
      <w:r w:rsidRPr="00F97FB6">
        <w:t xml:space="preserve"> According to exchange rates on 4th January 2013, this amounts to 2.265.118 Euro. </w:t>
      </w:r>
    </w:p>
  </w:footnote>
  <w:footnote w:id="24">
    <w:p w14:paraId="159ED8EA" w14:textId="77777777" w:rsidR="002006CC" w:rsidRDefault="002006CC" w:rsidP="00770B18">
      <w:pPr>
        <w:pStyle w:val="FootnoteText"/>
      </w:pPr>
      <w:r>
        <w:rPr>
          <w:rStyle w:val="FootnoteReference"/>
        </w:rPr>
        <w:footnoteRef/>
      </w:r>
      <w:r>
        <w:t xml:space="preserve"> “Krakow: </w:t>
      </w:r>
      <w:proofErr w:type="spellStart"/>
      <w:r>
        <w:t>Proces</w:t>
      </w:r>
      <w:proofErr w:type="spellEnd"/>
      <w:r>
        <w:t xml:space="preserve"> </w:t>
      </w:r>
      <w:proofErr w:type="spellStart"/>
      <w:r>
        <w:t>ws</w:t>
      </w:r>
      <w:proofErr w:type="spellEnd"/>
      <w:r>
        <w:t xml:space="preserve">. </w:t>
      </w:r>
      <w:proofErr w:type="spellStart"/>
      <w:r>
        <w:t>Pozwu</w:t>
      </w:r>
      <w:proofErr w:type="spellEnd"/>
      <w:r>
        <w:t xml:space="preserve"> </w:t>
      </w:r>
      <w:proofErr w:type="spellStart"/>
      <w:r>
        <w:t>zbiorowego</w:t>
      </w:r>
      <w:proofErr w:type="spellEnd"/>
      <w:r>
        <w:t xml:space="preserve"> </w:t>
      </w:r>
      <w:proofErr w:type="spellStart"/>
      <w:r>
        <w:t>powodzian</w:t>
      </w:r>
      <w:proofErr w:type="spellEnd"/>
      <w:r>
        <w:t xml:space="preserve"> – w </w:t>
      </w:r>
      <w:proofErr w:type="spellStart"/>
      <w:r>
        <w:t>grudniu</w:t>
      </w:r>
      <w:proofErr w:type="spellEnd"/>
      <w:r>
        <w:t xml:space="preserve">” (Krakow: trial in the class action of flood victims in December), </w:t>
      </w:r>
      <w:proofErr w:type="spellStart"/>
      <w:r>
        <w:t>Gazeta</w:t>
      </w:r>
      <w:proofErr w:type="spellEnd"/>
      <w:r>
        <w:t xml:space="preserve"> </w:t>
      </w:r>
      <w:proofErr w:type="spellStart"/>
      <w:r>
        <w:t>Krakowska</w:t>
      </w:r>
      <w:proofErr w:type="spellEnd"/>
      <w:r>
        <w:t xml:space="preserve">, 6 September 2013. </w:t>
      </w:r>
    </w:p>
  </w:footnote>
  <w:footnote w:id="25">
    <w:p w14:paraId="09F45357" w14:textId="77777777" w:rsidR="002006CC" w:rsidRDefault="002006CC" w:rsidP="00770B18">
      <w:pPr>
        <w:pStyle w:val="FootnoteText"/>
      </w:pPr>
      <w:r>
        <w:rPr>
          <w:rStyle w:val="FootnoteReference"/>
        </w:rPr>
        <w:footnoteRef/>
      </w:r>
      <w:r>
        <w:t xml:space="preserve"> </w:t>
      </w:r>
      <w:proofErr w:type="gramStart"/>
      <w:r>
        <w:t>II C 1693/10.</w:t>
      </w:r>
      <w:proofErr w:type="gramEnd"/>
      <w:r>
        <w:t xml:space="preserve"> </w:t>
      </w:r>
    </w:p>
  </w:footnote>
  <w:footnote w:id="26">
    <w:p w14:paraId="44453EAA" w14:textId="77777777" w:rsidR="002006CC" w:rsidRPr="00F97FB6" w:rsidRDefault="002006CC" w:rsidP="00D5365A">
      <w:pPr>
        <w:pStyle w:val="FootnoteText"/>
        <w:rPr>
          <w:lang w:val="pl-PL"/>
        </w:rPr>
      </w:pPr>
      <w:r w:rsidRPr="00F97FB6">
        <w:rPr>
          <w:rStyle w:val="FootnoteReference"/>
        </w:rPr>
        <w:footnoteRef/>
      </w:r>
      <w:r w:rsidRPr="00F97FB6">
        <w:rPr>
          <w:lang w:val="pl-PL"/>
        </w:rPr>
        <w:t xml:space="preserve"> </w:t>
      </w:r>
      <w:r w:rsidRPr="00F97FB6">
        <w:rPr>
          <w:lang w:val="pl-PL"/>
        </w:rPr>
        <w:t xml:space="preserve">Gazeta Wyborcza, 31 August 2012, “Do gdańskiego sądu wpłynął pozew zbiorowy przeciwko </w:t>
      </w:r>
      <w:proofErr w:type="spellStart"/>
      <w:r w:rsidRPr="00F97FB6">
        <w:rPr>
          <w:lang w:val="pl-PL"/>
        </w:rPr>
        <w:t>Amber</w:t>
      </w:r>
      <w:proofErr w:type="spellEnd"/>
      <w:r w:rsidRPr="00F97FB6">
        <w:rPr>
          <w:lang w:val="pl-PL"/>
        </w:rPr>
        <w:t xml:space="preserve"> Gold”, </w:t>
      </w:r>
      <w:hyperlink r:id="rId7" w:history="1">
        <w:r w:rsidRPr="00F97FB6">
          <w:rPr>
            <w:rStyle w:val="Hyperlink1"/>
            <w:lang w:val="pl-PL"/>
          </w:rPr>
          <w:t>http://wyborcza.biz/finanse/1,105684,12400194,Do_gdanskiego_sadu_wplynal_pozew_zbiorowy_przeciwko.html</w:t>
        </w:r>
      </w:hyperlink>
      <w:r w:rsidRPr="00F97FB6">
        <w:rPr>
          <w:lang w:val="pl-PL"/>
        </w:rPr>
        <w:t xml:space="preserve">.  </w:t>
      </w:r>
      <w:proofErr w:type="spellStart"/>
      <w:r>
        <w:rPr>
          <w:lang w:val="pl-PL"/>
        </w:rPr>
        <w:t>Interestingly</w:t>
      </w:r>
      <w:proofErr w:type="spellEnd"/>
      <w:r>
        <w:rPr>
          <w:lang w:val="pl-PL"/>
        </w:rPr>
        <w:t xml:space="preserve">, the law firm </w:t>
      </w:r>
      <w:proofErr w:type="spellStart"/>
      <w:r>
        <w:rPr>
          <w:lang w:val="pl-PL"/>
        </w:rPr>
        <w:t>representing</w:t>
      </w:r>
      <w:proofErr w:type="spellEnd"/>
      <w:r>
        <w:rPr>
          <w:lang w:val="pl-PL"/>
        </w:rPr>
        <w:t xml:space="preserve"> the </w:t>
      </w:r>
      <w:proofErr w:type="spellStart"/>
      <w:r>
        <w:rPr>
          <w:lang w:val="pl-PL"/>
        </w:rPr>
        <w:t>class</w:t>
      </w:r>
      <w:proofErr w:type="spellEnd"/>
      <w:r>
        <w:rPr>
          <w:lang w:val="pl-PL"/>
        </w:rPr>
        <w:t xml:space="preserve"> – </w:t>
      </w:r>
      <w:proofErr w:type="spellStart"/>
      <w:r>
        <w:rPr>
          <w:lang w:val="pl-PL"/>
        </w:rPr>
        <w:t>Chalas</w:t>
      </w:r>
      <w:proofErr w:type="spellEnd"/>
      <w:r>
        <w:rPr>
          <w:lang w:val="pl-PL"/>
        </w:rPr>
        <w:t xml:space="preserve"> &amp; </w:t>
      </w:r>
      <w:proofErr w:type="spellStart"/>
      <w:r>
        <w:rPr>
          <w:lang w:val="pl-PL"/>
        </w:rPr>
        <w:t>Wspolnicy</w:t>
      </w:r>
      <w:proofErr w:type="spellEnd"/>
      <w:r>
        <w:rPr>
          <w:lang w:val="pl-PL"/>
        </w:rPr>
        <w:t xml:space="preserve"> – </w:t>
      </w:r>
      <w:proofErr w:type="spellStart"/>
      <w:r>
        <w:rPr>
          <w:lang w:val="pl-PL"/>
        </w:rPr>
        <w:t>demanded</w:t>
      </w:r>
      <w:proofErr w:type="spellEnd"/>
      <w:r>
        <w:rPr>
          <w:lang w:val="pl-PL"/>
        </w:rPr>
        <w:t xml:space="preserve"> </w:t>
      </w:r>
      <w:proofErr w:type="spellStart"/>
      <w:r>
        <w:rPr>
          <w:lang w:val="pl-PL"/>
        </w:rPr>
        <w:t>an</w:t>
      </w:r>
      <w:proofErr w:type="spellEnd"/>
      <w:r>
        <w:rPr>
          <w:lang w:val="pl-PL"/>
        </w:rPr>
        <w:t xml:space="preserve"> </w:t>
      </w:r>
      <w:proofErr w:type="spellStart"/>
      <w:r>
        <w:rPr>
          <w:lang w:val="pl-PL"/>
        </w:rPr>
        <w:t>upfront</w:t>
      </w:r>
      <w:proofErr w:type="spellEnd"/>
      <w:r>
        <w:rPr>
          <w:lang w:val="pl-PL"/>
        </w:rPr>
        <w:t xml:space="preserve"> </w:t>
      </w:r>
      <w:proofErr w:type="spellStart"/>
      <w:r>
        <w:rPr>
          <w:lang w:val="pl-PL"/>
        </w:rPr>
        <w:t>fee</w:t>
      </w:r>
      <w:proofErr w:type="spellEnd"/>
      <w:r>
        <w:rPr>
          <w:lang w:val="pl-PL"/>
        </w:rPr>
        <w:t xml:space="preserve"> (</w:t>
      </w:r>
      <w:proofErr w:type="spellStart"/>
      <w:r>
        <w:rPr>
          <w:lang w:val="pl-PL"/>
        </w:rPr>
        <w:t>starting</w:t>
      </w:r>
      <w:proofErr w:type="spellEnd"/>
      <w:r>
        <w:rPr>
          <w:lang w:val="pl-PL"/>
        </w:rPr>
        <w:t xml:space="preserve"> from 1000PLN) + 2% of the </w:t>
      </w:r>
      <w:proofErr w:type="spellStart"/>
      <w:r>
        <w:rPr>
          <w:lang w:val="pl-PL"/>
        </w:rPr>
        <w:t>value</w:t>
      </w:r>
      <w:proofErr w:type="spellEnd"/>
      <w:r>
        <w:rPr>
          <w:lang w:val="pl-PL"/>
        </w:rPr>
        <w:t xml:space="preserve"> of </w:t>
      </w:r>
      <w:proofErr w:type="spellStart"/>
      <w:r>
        <w:rPr>
          <w:lang w:val="pl-PL"/>
        </w:rPr>
        <w:t>each</w:t>
      </w:r>
      <w:proofErr w:type="spellEnd"/>
      <w:r>
        <w:rPr>
          <w:lang w:val="pl-PL"/>
        </w:rPr>
        <w:t xml:space="preserve"> </w:t>
      </w:r>
      <w:proofErr w:type="spellStart"/>
      <w:r>
        <w:rPr>
          <w:lang w:val="pl-PL"/>
        </w:rPr>
        <w:t>individual</w:t>
      </w:r>
      <w:proofErr w:type="spellEnd"/>
      <w:r>
        <w:rPr>
          <w:lang w:val="pl-PL"/>
        </w:rPr>
        <w:t xml:space="preserve"> </w:t>
      </w:r>
      <w:proofErr w:type="spellStart"/>
      <w:r>
        <w:rPr>
          <w:lang w:val="pl-PL"/>
        </w:rPr>
        <w:t>claim</w:t>
      </w:r>
      <w:proofErr w:type="spellEnd"/>
      <w:r>
        <w:rPr>
          <w:lang w:val="pl-PL"/>
        </w:rPr>
        <w:t xml:space="preserve"> to </w:t>
      </w:r>
      <w:proofErr w:type="spellStart"/>
      <w:r>
        <w:rPr>
          <w:lang w:val="pl-PL"/>
        </w:rPr>
        <w:t>cover</w:t>
      </w:r>
      <w:proofErr w:type="spellEnd"/>
      <w:r>
        <w:rPr>
          <w:lang w:val="pl-PL"/>
        </w:rPr>
        <w:t xml:space="preserve"> the </w:t>
      </w:r>
      <w:proofErr w:type="spellStart"/>
      <w:r>
        <w:rPr>
          <w:lang w:val="pl-PL"/>
        </w:rPr>
        <w:t>court</w:t>
      </w:r>
      <w:proofErr w:type="spellEnd"/>
      <w:r>
        <w:rPr>
          <w:lang w:val="pl-PL"/>
        </w:rPr>
        <w:t xml:space="preserve"> </w:t>
      </w:r>
      <w:proofErr w:type="spellStart"/>
      <w:r>
        <w:rPr>
          <w:lang w:val="pl-PL"/>
        </w:rPr>
        <w:t>fee</w:t>
      </w:r>
      <w:proofErr w:type="spellEnd"/>
      <w:r>
        <w:rPr>
          <w:lang w:val="pl-PL"/>
        </w:rPr>
        <w:t xml:space="preserve"> (</w:t>
      </w:r>
      <w:hyperlink r:id="rId8" w:history="1">
        <w:r w:rsidRPr="0092016E">
          <w:rPr>
            <w:rStyle w:val="Hyperlink"/>
            <w:lang w:val="pl-PL"/>
          </w:rPr>
          <w:t>http://www.bankier.pl/wiadomosc/Klienci-Amber-Gold-podwojnie-nabici-w-butelke-2900739.html</w:t>
        </w:r>
      </w:hyperlink>
      <w:r>
        <w:rPr>
          <w:lang w:val="pl-PL"/>
        </w:rPr>
        <w:t xml:space="preserve"> - </w:t>
      </w:r>
      <w:proofErr w:type="spellStart"/>
      <w:r>
        <w:rPr>
          <w:lang w:val="pl-PL"/>
        </w:rPr>
        <w:t>accessed</w:t>
      </w:r>
      <w:proofErr w:type="spellEnd"/>
      <w:r>
        <w:rPr>
          <w:lang w:val="pl-PL"/>
        </w:rPr>
        <w:t xml:space="preserve"> on 3rd </w:t>
      </w:r>
      <w:proofErr w:type="spellStart"/>
      <w:r>
        <w:rPr>
          <w:lang w:val="pl-PL"/>
        </w:rPr>
        <w:t>April</w:t>
      </w:r>
      <w:proofErr w:type="spellEnd"/>
      <w:r>
        <w:rPr>
          <w:lang w:val="pl-PL"/>
        </w:rPr>
        <w:t xml:space="preserve"> 2014). </w:t>
      </w:r>
    </w:p>
  </w:footnote>
  <w:footnote w:id="27">
    <w:p w14:paraId="54DF59FE" w14:textId="77777777" w:rsidR="002006CC" w:rsidRPr="00F97FB6" w:rsidRDefault="002006CC" w:rsidP="003D70EE">
      <w:pPr>
        <w:pStyle w:val="FootnoteText"/>
      </w:pPr>
      <w:r w:rsidRPr="00F97FB6">
        <w:rPr>
          <w:rStyle w:val="FootnoteReference"/>
        </w:rPr>
        <w:footnoteRef/>
      </w:r>
      <w:r w:rsidRPr="00F97FB6">
        <w:t xml:space="preserve"> Article 5. </w:t>
      </w:r>
    </w:p>
  </w:footnote>
  <w:footnote w:id="28">
    <w:p w14:paraId="178C3FA4" w14:textId="77777777" w:rsidR="002006CC" w:rsidRPr="00F97FB6" w:rsidRDefault="002006CC" w:rsidP="003D70EE">
      <w:pPr>
        <w:pStyle w:val="FootnoteText"/>
      </w:pPr>
      <w:r w:rsidRPr="00F97FB6">
        <w:rPr>
          <w:rStyle w:val="FootnoteReference"/>
        </w:rPr>
        <w:footnoteRef/>
      </w:r>
      <w:r w:rsidRPr="00F97FB6">
        <w:t xml:space="preserve"> The lawyer involved did not wish to impart the information at this time. </w:t>
      </w:r>
    </w:p>
  </w:footnote>
  <w:footnote w:id="29">
    <w:p w14:paraId="7A722C4C" w14:textId="77777777" w:rsidR="002006CC" w:rsidRDefault="002006CC" w:rsidP="003D70EE">
      <w:pPr>
        <w:pStyle w:val="FootnoteText"/>
      </w:pPr>
      <w:r>
        <w:rPr>
          <w:rStyle w:val="FootnoteReference"/>
        </w:rPr>
        <w:footnoteRef/>
      </w:r>
      <w:r>
        <w:t xml:space="preserve"> The law firm handling the suits is LWB (</w:t>
      </w:r>
      <w:proofErr w:type="spellStart"/>
      <w:r>
        <w:t>Lengiewicz</w:t>
      </w:r>
      <w:proofErr w:type="spellEnd"/>
      <w:r>
        <w:t xml:space="preserve">, </w:t>
      </w:r>
      <w:proofErr w:type="spellStart"/>
      <w:r>
        <w:t>Wronska</w:t>
      </w:r>
      <w:proofErr w:type="spellEnd"/>
      <w:r>
        <w:t xml:space="preserve">, </w:t>
      </w:r>
      <w:proofErr w:type="spellStart"/>
      <w:r>
        <w:t>Berezowska</w:t>
      </w:r>
      <w:proofErr w:type="spellEnd"/>
      <w:r>
        <w:t xml:space="preserve"> &amp; </w:t>
      </w:r>
      <w:proofErr w:type="spellStart"/>
      <w:r>
        <w:t>Wspolnicy</w:t>
      </w:r>
      <w:proofErr w:type="spellEnd"/>
      <w:r>
        <w:t>). Details of the cases: “</w:t>
      </w:r>
      <w:proofErr w:type="spellStart"/>
      <w:r>
        <w:t>Modne</w:t>
      </w:r>
      <w:proofErr w:type="spellEnd"/>
      <w:r>
        <w:t xml:space="preserve"> </w:t>
      </w:r>
      <w:proofErr w:type="spellStart"/>
      <w:r>
        <w:t>pozwy</w:t>
      </w:r>
      <w:proofErr w:type="spellEnd"/>
      <w:r>
        <w:t xml:space="preserve"> </w:t>
      </w:r>
      <w:proofErr w:type="spellStart"/>
      <w:r>
        <w:t>zbiorowe</w:t>
      </w:r>
      <w:proofErr w:type="spellEnd"/>
      <w:r>
        <w:t xml:space="preserve"> </w:t>
      </w:r>
      <w:proofErr w:type="spellStart"/>
      <w:r>
        <w:t>slono</w:t>
      </w:r>
      <w:proofErr w:type="spellEnd"/>
      <w:r>
        <w:t xml:space="preserve"> </w:t>
      </w:r>
      <w:proofErr w:type="spellStart"/>
      <w:r>
        <w:t>kosztuja</w:t>
      </w:r>
      <w:proofErr w:type="spellEnd"/>
      <w:r>
        <w:t xml:space="preserve"> </w:t>
      </w:r>
      <w:proofErr w:type="spellStart"/>
      <w:r>
        <w:t>poszkodowanych</w:t>
      </w:r>
      <w:proofErr w:type="spellEnd"/>
      <w:r>
        <w:t xml:space="preserve">” (fashionable class actions costs victims a lot), </w:t>
      </w:r>
      <w:proofErr w:type="spellStart"/>
      <w:r>
        <w:t>Gazeta</w:t>
      </w:r>
      <w:proofErr w:type="spellEnd"/>
      <w:r>
        <w:t xml:space="preserve"> </w:t>
      </w:r>
      <w:proofErr w:type="spellStart"/>
      <w:r>
        <w:t>Wyborcza</w:t>
      </w:r>
      <w:proofErr w:type="spellEnd"/>
      <w:r>
        <w:t xml:space="preserve">, </w:t>
      </w:r>
      <w:proofErr w:type="spellStart"/>
      <w:r>
        <w:t>Finanse</w:t>
      </w:r>
      <w:proofErr w:type="spellEnd"/>
      <w:r>
        <w:t xml:space="preserve">, 29 January 2014, </w:t>
      </w:r>
      <w:hyperlink r:id="rId9" w:anchor="BoxBizTxt" w:history="1">
        <w:r w:rsidRPr="0092016E">
          <w:rPr>
            <w:rStyle w:val="Hyperlink"/>
          </w:rPr>
          <w:t>http://wyborcza.biz/finanse/1,105725,15355340,Modne_pozwy_zbiorowe_slono_kosztuja_poszkodowanych.html?biznes=trojmiasto#BoxBizTxt</w:t>
        </w:r>
      </w:hyperlink>
      <w:r>
        <w:t xml:space="preserve"> </w:t>
      </w:r>
    </w:p>
  </w:footnote>
  <w:footnote w:id="30">
    <w:p w14:paraId="091A68E2" w14:textId="77777777" w:rsidR="002006CC" w:rsidRPr="00F97FB6" w:rsidRDefault="002006CC" w:rsidP="003D70EE">
      <w:pPr>
        <w:pStyle w:val="FootnoteText"/>
      </w:pPr>
      <w:r w:rsidRPr="00F97FB6">
        <w:rPr>
          <w:rStyle w:val="FootnoteReference"/>
        </w:rPr>
        <w:footnoteRef/>
      </w:r>
      <w:r w:rsidRPr="00F97FB6">
        <w:t xml:space="preserve"> The Polish legal profession consists of barristers (</w:t>
      </w:r>
      <w:proofErr w:type="spellStart"/>
      <w:r w:rsidRPr="00F97FB6">
        <w:t>adwokat</w:t>
      </w:r>
      <w:proofErr w:type="spellEnd"/>
      <w:r w:rsidRPr="00F97FB6">
        <w:t>), solicitors (</w:t>
      </w:r>
      <w:proofErr w:type="spellStart"/>
      <w:r w:rsidRPr="00F97FB6">
        <w:t>radca</w:t>
      </w:r>
      <w:proofErr w:type="spellEnd"/>
      <w:r w:rsidRPr="00F97FB6">
        <w:t xml:space="preserve"> </w:t>
      </w:r>
      <w:proofErr w:type="spellStart"/>
      <w:r w:rsidRPr="00F97FB6">
        <w:t>prawny</w:t>
      </w:r>
      <w:proofErr w:type="spellEnd"/>
      <w:r w:rsidRPr="00F97FB6">
        <w:t xml:space="preserve">), notaries, judges and prosecutors. The rules concerning barristers and solicitors’ ethics, and their remuneration, are very similar. See M. Tulibacka “Poland” in C. Hodges, S. </w:t>
      </w:r>
      <w:proofErr w:type="spellStart"/>
      <w:r w:rsidRPr="00F97FB6">
        <w:t>Vogenauer</w:t>
      </w:r>
      <w:proofErr w:type="spellEnd"/>
      <w:r w:rsidRPr="00F97FB6">
        <w:t xml:space="preserve"> and M. Tulibacka (eds.) “The Costs and Funding of Civil Litigation. A Comparative Perspective”, Oxford: Hart Publishing, 2010: 453 – 466. </w:t>
      </w:r>
    </w:p>
  </w:footnote>
  <w:footnote w:id="31">
    <w:p w14:paraId="55365096" w14:textId="77777777" w:rsidR="002006CC" w:rsidRPr="00F97FB6" w:rsidRDefault="002006CC" w:rsidP="003D70EE">
      <w:pPr>
        <w:pStyle w:val="FootnoteText"/>
      </w:pPr>
      <w:r w:rsidRPr="00F97FB6">
        <w:rPr>
          <w:rStyle w:val="FootnoteReference"/>
        </w:rPr>
        <w:footnoteRef/>
      </w:r>
      <w:r w:rsidRPr="00F97FB6">
        <w:t xml:space="preserve"> Irrespective of the agreed amount, as mentioned above, Polish law established tariffs for lawyers’ fees for cost-shifting purposes, depending on the type of case and on the amount in dispute. On the details of the tariff, see M. Tulibacka “Poland” in C. Hodges, S. </w:t>
      </w:r>
      <w:proofErr w:type="spellStart"/>
      <w:r w:rsidRPr="00F97FB6">
        <w:t>Vogenauer</w:t>
      </w:r>
      <w:proofErr w:type="spellEnd"/>
      <w:r w:rsidRPr="00F97FB6">
        <w:t xml:space="preserve"> and M. Tulibacka (eds.) “The Costs and Funding of Civil Litigation. A Comparative Perspective”, at pp. 463 – 464. </w:t>
      </w:r>
    </w:p>
  </w:footnote>
  <w:footnote w:id="32">
    <w:p w14:paraId="1FBE63F5" w14:textId="77777777" w:rsidR="002006CC" w:rsidRPr="00F97FB6" w:rsidRDefault="002006CC" w:rsidP="003D70EE">
      <w:pPr>
        <w:pStyle w:val="FootnoteText"/>
      </w:pPr>
      <w:r w:rsidRPr="00F97FB6">
        <w:rPr>
          <w:rStyle w:val="FootnoteReference"/>
        </w:rPr>
        <w:footnoteRef/>
      </w:r>
      <w:r w:rsidRPr="00F97FB6">
        <w:t xml:space="preserve"> Paragraph 50.3 of the Barristers’ Code of Ethics (</w:t>
      </w:r>
      <w:hyperlink r:id="rId10" w:history="1">
        <w:r w:rsidRPr="00F97FB6">
          <w:rPr>
            <w:rStyle w:val="Hyperlink1"/>
          </w:rPr>
          <w:t>http://www.monitorprawniczy.pl/index.php?mod=m_artykuly&amp;cid=53&amp;id=219&amp;p=4</w:t>
        </w:r>
      </w:hyperlink>
      <w:r w:rsidRPr="00F97FB6">
        <w:t xml:space="preserve"> – accessed on 10</w:t>
      </w:r>
      <w:r w:rsidRPr="00F97FB6">
        <w:rPr>
          <w:vertAlign w:val="superscript"/>
        </w:rPr>
        <w:t>th</w:t>
      </w:r>
      <w:r w:rsidRPr="00F97FB6">
        <w:t xml:space="preserve"> December 2012), and Paragraph 29.3 of the Solicitors’ Code of Ethics (</w:t>
      </w:r>
      <w:hyperlink r:id="rId11" w:history="1">
        <w:r w:rsidRPr="00F97FB6">
          <w:rPr>
            <w:rStyle w:val="Hyperlink1"/>
          </w:rPr>
          <w:t>http://antykorupcja.edu.pl/index.php?mnu=12&amp;app=docs&amp;action=get&amp;iid=9739</w:t>
        </w:r>
      </w:hyperlink>
      <w:r w:rsidRPr="00F97FB6">
        <w:t xml:space="preserve"> – accessed on 10</w:t>
      </w:r>
      <w:r w:rsidRPr="00F97FB6">
        <w:rPr>
          <w:vertAlign w:val="superscript"/>
        </w:rPr>
        <w:t>th</w:t>
      </w:r>
      <w:r w:rsidRPr="00F97FB6">
        <w:t xml:space="preserve"> December 2012). </w:t>
      </w:r>
    </w:p>
  </w:footnote>
  <w:footnote w:id="33">
    <w:p w14:paraId="6F13F529" w14:textId="77777777" w:rsidR="002006CC" w:rsidRPr="00F97FB6" w:rsidRDefault="002006CC" w:rsidP="003D70EE">
      <w:pPr>
        <w:pStyle w:val="FootnoteText"/>
        <w:rPr>
          <w:lang w:val="pl-PL"/>
        </w:rPr>
      </w:pPr>
      <w:r w:rsidRPr="00F97FB6">
        <w:rPr>
          <w:rStyle w:val="FootnoteReference"/>
        </w:rPr>
        <w:footnoteRef/>
      </w:r>
      <w:r w:rsidRPr="00F97FB6">
        <w:rPr>
          <w:lang w:val="pl-PL"/>
        </w:rPr>
        <w:t xml:space="preserve"> </w:t>
      </w:r>
      <w:r w:rsidRPr="00F97FB6">
        <w:rPr>
          <w:lang w:val="pl-PL"/>
        </w:rPr>
        <w:t xml:space="preserve">Gazeta Wyborcza, 24 August 2012, “Ile zarobią adwokaci na klientach </w:t>
      </w:r>
      <w:proofErr w:type="spellStart"/>
      <w:r w:rsidRPr="00F97FB6">
        <w:rPr>
          <w:lang w:val="pl-PL"/>
        </w:rPr>
        <w:t>Amber</w:t>
      </w:r>
      <w:proofErr w:type="spellEnd"/>
      <w:r w:rsidRPr="00F97FB6">
        <w:rPr>
          <w:lang w:val="pl-PL"/>
        </w:rPr>
        <w:t xml:space="preserve"> Gold”, </w:t>
      </w:r>
      <w:hyperlink r:id="rId12" w:history="1">
        <w:r w:rsidRPr="00F97FB6">
          <w:rPr>
            <w:rStyle w:val="Hyperlink1"/>
            <w:lang w:val="pl-PL"/>
          </w:rPr>
          <w:t>http://biznes.gazetaprawna.pl/artykuly/642188,ile_zarobia_adwokaci_na_klientach_amber_gold.html</w:t>
        </w:r>
      </w:hyperlink>
      <w:r w:rsidRPr="00F97FB6">
        <w:rPr>
          <w:lang w:val="pl-PL"/>
        </w:rPr>
        <w:t xml:space="preserve">. </w:t>
      </w:r>
    </w:p>
  </w:footnote>
  <w:footnote w:id="34">
    <w:p w14:paraId="6BB123C6" w14:textId="77777777" w:rsidR="002006CC" w:rsidRPr="00F97FB6" w:rsidRDefault="002006CC" w:rsidP="003D70EE">
      <w:pPr>
        <w:pStyle w:val="FootnoteText"/>
      </w:pPr>
      <w:r w:rsidRPr="00F97FB6">
        <w:rPr>
          <w:rStyle w:val="FootnoteReference"/>
        </w:rPr>
        <w:footnoteRef/>
      </w:r>
      <w:r w:rsidRPr="00F97FB6">
        <w:t xml:space="preserve"> Article 25 of the Class Actions Act inserted Article 13.2 into the Act on Court Costs in Civil Cases (Act of 28 July 2005, published in </w:t>
      </w:r>
      <w:proofErr w:type="spellStart"/>
      <w:r w:rsidRPr="00F97FB6">
        <w:t>Dziennik</w:t>
      </w:r>
      <w:proofErr w:type="spellEnd"/>
      <w:r w:rsidRPr="00F97FB6">
        <w:t xml:space="preserve"> </w:t>
      </w:r>
      <w:proofErr w:type="spellStart"/>
      <w:r w:rsidRPr="00F97FB6">
        <w:t>Ustaw</w:t>
      </w:r>
      <w:proofErr w:type="spellEnd"/>
      <w:r w:rsidRPr="00F97FB6">
        <w:t xml:space="preserve"> No. 167, item 1398). </w:t>
      </w:r>
    </w:p>
  </w:footnote>
  <w:footnote w:id="35">
    <w:p w14:paraId="05B642C4" w14:textId="77777777" w:rsidR="002006CC" w:rsidRPr="00F97FB6" w:rsidRDefault="002006CC" w:rsidP="003D70EE">
      <w:pPr>
        <w:pStyle w:val="FootnoteText"/>
      </w:pPr>
      <w:r w:rsidRPr="00F97FB6">
        <w:rPr>
          <w:rStyle w:val="FootnoteReference"/>
        </w:rPr>
        <w:footnoteRef/>
      </w:r>
      <w:r w:rsidRPr="00F97FB6">
        <w:t xml:space="preserve"> Article 26.1.7 of the Act on Court Costs in Civil Cases, as amended by the Class Actions Act. </w:t>
      </w:r>
    </w:p>
  </w:footnote>
  <w:footnote w:id="36">
    <w:p w14:paraId="3C2C18F8" w14:textId="77777777" w:rsidR="002006CC" w:rsidRPr="00F97FB6" w:rsidRDefault="002006CC" w:rsidP="003D70EE">
      <w:pPr>
        <w:pStyle w:val="FootnoteText"/>
      </w:pPr>
      <w:r w:rsidRPr="00F97FB6">
        <w:rPr>
          <w:rStyle w:val="FootnoteReference"/>
        </w:rPr>
        <w:footnoteRef/>
      </w:r>
      <w:r w:rsidRPr="00F97FB6">
        <w:t xml:space="preserve"> </w:t>
      </w:r>
      <w:proofErr w:type="gramStart"/>
      <w:r w:rsidRPr="00F97FB6">
        <w:t>Article 15.2 of the Act on Court Costs.</w:t>
      </w:r>
      <w:proofErr w:type="gramEnd"/>
      <w:r w:rsidRPr="00F97FB6">
        <w:t xml:space="preserve"> </w:t>
      </w:r>
    </w:p>
  </w:footnote>
  <w:footnote w:id="37">
    <w:p w14:paraId="02C6ABAD" w14:textId="77777777" w:rsidR="002006CC" w:rsidRDefault="002006CC" w:rsidP="003D70EE">
      <w:pPr>
        <w:pStyle w:val="FootnoteText"/>
      </w:pPr>
      <w:r>
        <w:rPr>
          <w:rStyle w:val="FootnoteReference"/>
        </w:rPr>
        <w:footnoteRef/>
      </w:r>
      <w:r>
        <w:t xml:space="preserve"> I. </w:t>
      </w:r>
      <w:proofErr w:type="spellStart"/>
      <w:r>
        <w:t>Gabrysiak</w:t>
      </w:r>
      <w:proofErr w:type="spellEnd"/>
      <w:r>
        <w:t xml:space="preserve">, 14. </w:t>
      </w:r>
    </w:p>
  </w:footnote>
  <w:footnote w:id="38">
    <w:p w14:paraId="1AB4CD90" w14:textId="77777777" w:rsidR="002006CC" w:rsidRDefault="002006CC" w:rsidP="003D70EE">
      <w:pPr>
        <w:pStyle w:val="FootnoteText"/>
      </w:pPr>
      <w:r>
        <w:rPr>
          <w:rStyle w:val="FootnoteReference"/>
        </w:rPr>
        <w:footnoteRef/>
      </w:r>
      <w:r>
        <w:t xml:space="preserve"> </w:t>
      </w:r>
      <w:proofErr w:type="gramStart"/>
      <w:r w:rsidRPr="00746077">
        <w:t xml:space="preserve">Sad </w:t>
      </w:r>
      <w:proofErr w:type="spellStart"/>
      <w:r w:rsidRPr="00746077">
        <w:t>Okregowy</w:t>
      </w:r>
      <w:proofErr w:type="spellEnd"/>
      <w:r w:rsidRPr="00746077">
        <w:t xml:space="preserve"> w </w:t>
      </w:r>
      <w:proofErr w:type="spellStart"/>
      <w:r w:rsidRPr="00746077">
        <w:t>Lodzi</w:t>
      </w:r>
      <w:proofErr w:type="spellEnd"/>
      <w:r w:rsidRPr="00746077">
        <w:t xml:space="preserve"> (district court in Lodz), </w:t>
      </w:r>
      <w:proofErr w:type="spellStart"/>
      <w:r w:rsidRPr="00746077">
        <w:t>Wydzial</w:t>
      </w:r>
      <w:proofErr w:type="spellEnd"/>
      <w:r w:rsidRPr="00746077">
        <w:t xml:space="preserve"> II </w:t>
      </w:r>
      <w:proofErr w:type="spellStart"/>
      <w:r w:rsidRPr="00746077">
        <w:t>Cywilny</w:t>
      </w:r>
      <w:proofErr w:type="spellEnd"/>
      <w:r w:rsidRPr="00746077">
        <w:t xml:space="preserve"> (Civil Branch No II), </w:t>
      </w:r>
      <w:proofErr w:type="spellStart"/>
      <w:r w:rsidRPr="00746077">
        <w:t>judgement</w:t>
      </w:r>
      <w:proofErr w:type="spellEnd"/>
      <w:r w:rsidRPr="00746077">
        <w:t xml:space="preserve"> of 3 July 2013, II C 1693/10.</w:t>
      </w:r>
      <w:proofErr w:type="gramEnd"/>
      <w:r w:rsidRPr="00746077">
        <w:t xml:space="preserve"> The </w:t>
      </w:r>
      <w:proofErr w:type="spellStart"/>
      <w:r w:rsidRPr="00746077">
        <w:t>judgement</w:t>
      </w:r>
      <w:proofErr w:type="spellEnd"/>
      <w:r w:rsidRPr="00746077">
        <w:t xml:space="preserve"> and official justification were not published. The author found the justification document on the website set up for the purpose of coordinating class actions against banks: pozwalembank.pl (</w:t>
      </w:r>
      <w:hyperlink r:id="rId13" w:history="1">
        <w:r w:rsidRPr="00746077">
          <w:rPr>
            <w:rStyle w:val="Hyperlink"/>
          </w:rPr>
          <w:t>http://www.pozwalembank.pl/wyrok-uzasadnienie-pozew-zbiorowy-bre-mbank/</w:t>
        </w:r>
      </w:hyperlink>
      <w:r w:rsidRPr="00746077">
        <w:t>), accessed on 3</w:t>
      </w:r>
      <w:r w:rsidRPr="00746077">
        <w:rPr>
          <w:vertAlign w:val="superscript"/>
        </w:rPr>
        <w:t>rd</w:t>
      </w:r>
      <w:r w:rsidRPr="00746077">
        <w:t xml:space="preserve"> April 2014.</w:t>
      </w:r>
    </w:p>
  </w:footnote>
  <w:footnote w:id="39">
    <w:p w14:paraId="253ECC42" w14:textId="77777777" w:rsidR="002006CC" w:rsidRPr="00F97FB6" w:rsidRDefault="002006CC" w:rsidP="003D70EE">
      <w:pPr>
        <w:pStyle w:val="FootnoteText"/>
      </w:pPr>
      <w:r w:rsidRPr="00F97FB6">
        <w:rPr>
          <w:rStyle w:val="FootnoteReference"/>
        </w:rPr>
        <w:footnoteRef/>
      </w:r>
      <w:r w:rsidRPr="00F97FB6">
        <w:t xml:space="preserve"> Articles 278 – 291 of the Code of Civil Procedure regulate appointment of experts. </w:t>
      </w:r>
    </w:p>
  </w:footnote>
  <w:footnote w:id="40">
    <w:p w14:paraId="752EBA45" w14:textId="77777777" w:rsidR="002006CC" w:rsidRPr="00F97FB6" w:rsidRDefault="002006CC" w:rsidP="003D70EE">
      <w:pPr>
        <w:pStyle w:val="FootnoteText"/>
      </w:pPr>
      <w:r w:rsidRPr="00F97FB6">
        <w:rPr>
          <w:rStyle w:val="FootnoteReference"/>
        </w:rPr>
        <w:footnoteRef/>
      </w:r>
      <w:r w:rsidRPr="00F97FB6">
        <w:t xml:space="preserve"> </w:t>
      </w:r>
      <w:proofErr w:type="gramStart"/>
      <w:r w:rsidRPr="00F97FB6">
        <w:t xml:space="preserve">Regulation of the Minister of Justice of 18 December 1975 on costs of obtaining expert evidence in civil litigation (published in </w:t>
      </w:r>
      <w:proofErr w:type="spellStart"/>
      <w:r w:rsidRPr="00F97FB6">
        <w:t>Dziennik</w:t>
      </w:r>
      <w:proofErr w:type="spellEnd"/>
      <w:r w:rsidRPr="00F97FB6">
        <w:t xml:space="preserve"> </w:t>
      </w:r>
      <w:proofErr w:type="spellStart"/>
      <w:r w:rsidRPr="00F97FB6">
        <w:t>Ustaw</w:t>
      </w:r>
      <w:proofErr w:type="spellEnd"/>
      <w:r w:rsidRPr="00F97FB6">
        <w:t xml:space="preserve"> no. 46, item 254).</w:t>
      </w:r>
      <w:proofErr w:type="gramEnd"/>
      <w:r w:rsidRPr="00F97FB6">
        <w:t xml:space="preserve"> </w:t>
      </w:r>
    </w:p>
  </w:footnote>
  <w:footnote w:id="41">
    <w:p w14:paraId="1CACCF0C" w14:textId="77777777" w:rsidR="002006CC" w:rsidRPr="00F97FB6" w:rsidRDefault="002006CC" w:rsidP="003D70EE">
      <w:pPr>
        <w:pStyle w:val="FootnoteText"/>
      </w:pPr>
      <w:r w:rsidRPr="00F97FB6">
        <w:rPr>
          <w:rStyle w:val="FootnoteReference"/>
        </w:rPr>
        <w:footnoteRef/>
      </w:r>
      <w:r w:rsidRPr="00F97FB6">
        <w:t xml:space="preserve"> </w:t>
      </w:r>
      <w:proofErr w:type="gramStart"/>
      <w:r w:rsidRPr="00F97FB6">
        <w:t>Article 89 of the Act on Court Costs in Civil Litigation.</w:t>
      </w:r>
      <w:proofErr w:type="gramEnd"/>
      <w:r w:rsidRPr="00F97FB6">
        <w:t xml:space="preserve"> </w:t>
      </w:r>
    </w:p>
  </w:footnote>
  <w:footnote w:id="42">
    <w:p w14:paraId="2C8FBB14" w14:textId="77777777" w:rsidR="002006CC" w:rsidRPr="00F97FB6" w:rsidRDefault="002006CC" w:rsidP="003D70EE">
      <w:pPr>
        <w:pStyle w:val="FootnoteText"/>
      </w:pPr>
      <w:r w:rsidRPr="00F97FB6">
        <w:rPr>
          <w:rStyle w:val="FootnoteReference"/>
        </w:rPr>
        <w:footnoteRef/>
      </w:r>
      <w:r w:rsidRPr="00F97FB6">
        <w:t xml:space="preserve"> </w:t>
      </w:r>
      <w:proofErr w:type="gramStart"/>
      <w:r w:rsidRPr="00F97FB6">
        <w:t>Article 85 of the Act on Court Costs.</w:t>
      </w:r>
      <w:proofErr w:type="gramEnd"/>
      <w:r w:rsidRPr="00F97FB6">
        <w:t xml:space="preserve"> </w:t>
      </w:r>
    </w:p>
  </w:footnote>
  <w:footnote w:id="43">
    <w:p w14:paraId="2108BF31" w14:textId="77777777" w:rsidR="002006CC" w:rsidRPr="00F97FB6" w:rsidRDefault="002006CC" w:rsidP="003D70EE">
      <w:pPr>
        <w:pStyle w:val="FootnoteText"/>
      </w:pPr>
      <w:r w:rsidRPr="00F97FB6">
        <w:rPr>
          <w:rStyle w:val="FootnoteReference"/>
        </w:rPr>
        <w:footnoteRef/>
      </w:r>
      <w:r w:rsidRPr="00F97FB6">
        <w:t xml:space="preserve"> This system was described in some detail in: M. Tulibacka “Poland”, in in C. Hodges, S. </w:t>
      </w:r>
      <w:proofErr w:type="spellStart"/>
      <w:r w:rsidRPr="00F97FB6">
        <w:t>Vogenauer</w:t>
      </w:r>
      <w:proofErr w:type="spellEnd"/>
      <w:r w:rsidRPr="00F97FB6">
        <w:t xml:space="preserve"> and M. Tulibacka (eds.) “The Costs and Funding of Civil Litigation. A Comparative Perspective”, Oxford: CH Beck; Hart, 2010, pp. 453 – 466, at pp. 464 and 466, and in M. Tulibacka “The Ethos of the Woolf Reforms in the Transformations of Post-Socialist Civil Procedures: Case Study of Poland”, in D. Dwyer (ed.) “The Civil Procedure Rules. Ten Years On”, Oxford: OUP, 2009, pp. 395 – 413.</w:t>
      </w:r>
    </w:p>
  </w:footnote>
  <w:footnote w:id="44">
    <w:p w14:paraId="679B74DE" w14:textId="77777777" w:rsidR="002006CC" w:rsidRDefault="002006CC" w:rsidP="003D70EE">
      <w:pPr>
        <w:pStyle w:val="FootnoteText"/>
      </w:pPr>
      <w:r>
        <w:rPr>
          <w:rStyle w:val="FootnoteReference"/>
        </w:rPr>
        <w:footnoteRef/>
      </w:r>
      <w:r>
        <w:t xml:space="preserve"> </w:t>
      </w:r>
      <w:proofErr w:type="gramStart"/>
      <w:r>
        <w:t xml:space="preserve">Sad </w:t>
      </w:r>
      <w:proofErr w:type="spellStart"/>
      <w:r>
        <w:t>Okregowy</w:t>
      </w:r>
      <w:proofErr w:type="spellEnd"/>
      <w:r>
        <w:t xml:space="preserve"> w </w:t>
      </w:r>
      <w:proofErr w:type="spellStart"/>
      <w:r>
        <w:t>Lodzi</w:t>
      </w:r>
      <w:proofErr w:type="spellEnd"/>
      <w:r>
        <w:t xml:space="preserve"> (district court in Lodz), </w:t>
      </w:r>
      <w:proofErr w:type="spellStart"/>
      <w:r>
        <w:t>Wydzial</w:t>
      </w:r>
      <w:proofErr w:type="spellEnd"/>
      <w:r>
        <w:t xml:space="preserve"> II </w:t>
      </w:r>
      <w:proofErr w:type="spellStart"/>
      <w:r>
        <w:t>Cywilny</w:t>
      </w:r>
      <w:proofErr w:type="spellEnd"/>
      <w:r>
        <w:t xml:space="preserve"> (Civil Branch No II), </w:t>
      </w:r>
      <w:proofErr w:type="spellStart"/>
      <w:r>
        <w:t>judgement</w:t>
      </w:r>
      <w:proofErr w:type="spellEnd"/>
      <w:r>
        <w:t xml:space="preserve"> of 3 July 2013, II C 1693/10.</w:t>
      </w:r>
      <w:proofErr w:type="gramEnd"/>
      <w:r>
        <w:t xml:space="preserve"> </w:t>
      </w:r>
    </w:p>
  </w:footnote>
  <w:footnote w:id="45">
    <w:p w14:paraId="51DF6015" w14:textId="77777777" w:rsidR="002006CC" w:rsidRPr="00F97FB6" w:rsidRDefault="002006CC" w:rsidP="003D70EE">
      <w:pPr>
        <w:pStyle w:val="FootnoteText"/>
      </w:pPr>
      <w:r w:rsidRPr="00F97FB6">
        <w:rPr>
          <w:rStyle w:val="FootnoteReference"/>
        </w:rPr>
        <w:footnoteRef/>
      </w:r>
      <w:r w:rsidRPr="00F97FB6">
        <w:t xml:space="preserve"> Articles 100 – 105. </w:t>
      </w:r>
    </w:p>
  </w:footnote>
  <w:footnote w:id="46">
    <w:p w14:paraId="3CB8F468" w14:textId="77777777" w:rsidR="002006CC" w:rsidRPr="00F97FB6" w:rsidRDefault="002006CC" w:rsidP="00AB505B">
      <w:pPr>
        <w:pStyle w:val="FootnoteText"/>
      </w:pPr>
      <w:r w:rsidRPr="00F97FB6">
        <w:rPr>
          <w:rStyle w:val="FootnoteReference"/>
        </w:rPr>
        <w:footnoteRef/>
      </w:r>
      <w:r w:rsidRPr="00F97FB6">
        <w:t xml:space="preserve"> Article 8. </w:t>
      </w:r>
    </w:p>
  </w:footnote>
  <w:footnote w:id="47">
    <w:p w14:paraId="1217ED72" w14:textId="77777777" w:rsidR="002006CC" w:rsidRDefault="002006CC" w:rsidP="0085396C">
      <w:pPr>
        <w:pStyle w:val="FootnoteText"/>
      </w:pPr>
      <w:r>
        <w:rPr>
          <w:rStyle w:val="FootnoteReference"/>
        </w:rPr>
        <w:footnoteRef/>
      </w:r>
      <w:r>
        <w:t xml:space="preserve"> I. </w:t>
      </w:r>
      <w:proofErr w:type="spellStart"/>
      <w:r>
        <w:t>Gabrysiak</w:t>
      </w:r>
      <w:proofErr w:type="spellEnd"/>
      <w:r>
        <w:t>, “</w:t>
      </w:r>
      <w:proofErr w:type="spellStart"/>
      <w:r>
        <w:t>Postepowanie</w:t>
      </w:r>
      <w:proofErr w:type="spellEnd"/>
      <w:r>
        <w:t xml:space="preserve"> </w:t>
      </w:r>
      <w:proofErr w:type="spellStart"/>
      <w:r>
        <w:t>sadowe</w:t>
      </w:r>
      <w:proofErr w:type="spellEnd"/>
      <w:r>
        <w:t xml:space="preserve"> w </w:t>
      </w:r>
      <w:proofErr w:type="spellStart"/>
      <w:r>
        <w:t>polskim</w:t>
      </w:r>
      <w:proofErr w:type="spellEnd"/>
      <w:r>
        <w:t xml:space="preserve"> </w:t>
      </w:r>
      <w:proofErr w:type="spellStart"/>
      <w:r>
        <w:t>prawie</w:t>
      </w:r>
      <w:proofErr w:type="spellEnd"/>
      <w:r>
        <w:t xml:space="preserve">”, 2014.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D9F"/>
    <w:multiLevelType w:val="hybridMultilevel"/>
    <w:tmpl w:val="2D544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0347B"/>
    <w:multiLevelType w:val="hybridMultilevel"/>
    <w:tmpl w:val="72021B10"/>
    <w:lvl w:ilvl="0" w:tplc="B4F00F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A03B1"/>
    <w:multiLevelType w:val="hybridMultilevel"/>
    <w:tmpl w:val="DEE2FEB8"/>
    <w:lvl w:ilvl="0" w:tplc="07D23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F1043"/>
    <w:multiLevelType w:val="hybridMultilevel"/>
    <w:tmpl w:val="C1A69A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00EF"/>
    <w:multiLevelType w:val="hybridMultilevel"/>
    <w:tmpl w:val="15C8DB32"/>
    <w:lvl w:ilvl="0" w:tplc="56A8C368">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9A48AA"/>
    <w:multiLevelType w:val="hybridMultilevel"/>
    <w:tmpl w:val="4974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E0C8A"/>
    <w:multiLevelType w:val="hybridMultilevel"/>
    <w:tmpl w:val="37B2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0053B"/>
    <w:multiLevelType w:val="hybridMultilevel"/>
    <w:tmpl w:val="78B65AF0"/>
    <w:lvl w:ilvl="0" w:tplc="701C4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E0D4C"/>
    <w:multiLevelType w:val="hybridMultilevel"/>
    <w:tmpl w:val="9C001C44"/>
    <w:lvl w:ilvl="0" w:tplc="22F44B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F6777"/>
    <w:multiLevelType w:val="hybridMultilevel"/>
    <w:tmpl w:val="3864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D3F1A"/>
    <w:multiLevelType w:val="hybridMultilevel"/>
    <w:tmpl w:val="794827EE"/>
    <w:lvl w:ilvl="0" w:tplc="D6424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30717"/>
    <w:multiLevelType w:val="hybridMultilevel"/>
    <w:tmpl w:val="813C3FB0"/>
    <w:lvl w:ilvl="0" w:tplc="22F44B9E">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59235A36"/>
    <w:multiLevelType w:val="hybridMultilevel"/>
    <w:tmpl w:val="1830718E"/>
    <w:lvl w:ilvl="0" w:tplc="22F44B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2"/>
  </w:num>
  <w:num w:numId="5">
    <w:abstractNumId w:val="7"/>
  </w:num>
  <w:num w:numId="6">
    <w:abstractNumId w:val="2"/>
  </w:num>
  <w:num w:numId="7">
    <w:abstractNumId w:val="10"/>
  </w:num>
  <w:num w:numId="8">
    <w:abstractNumId w:val="4"/>
  </w:num>
  <w:num w:numId="9">
    <w:abstractNumId w:val="9"/>
  </w:num>
  <w:num w:numId="10">
    <w:abstractNumId w:val="6"/>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B"/>
    <w:rsid w:val="00003AC2"/>
    <w:rsid w:val="00024703"/>
    <w:rsid w:val="00026333"/>
    <w:rsid w:val="00052B69"/>
    <w:rsid w:val="00075CBE"/>
    <w:rsid w:val="000836C1"/>
    <w:rsid w:val="000A407D"/>
    <w:rsid w:val="000C7AD5"/>
    <w:rsid w:val="000D1C4C"/>
    <w:rsid w:val="001146B1"/>
    <w:rsid w:val="00167EF8"/>
    <w:rsid w:val="00170633"/>
    <w:rsid w:val="00182F60"/>
    <w:rsid w:val="001A5B3C"/>
    <w:rsid w:val="001C74E2"/>
    <w:rsid w:val="001D68A3"/>
    <w:rsid w:val="001E1703"/>
    <w:rsid w:val="001F0B92"/>
    <w:rsid w:val="002006CC"/>
    <w:rsid w:val="00210050"/>
    <w:rsid w:val="0021326B"/>
    <w:rsid w:val="00220424"/>
    <w:rsid w:val="00222AC3"/>
    <w:rsid w:val="00245436"/>
    <w:rsid w:val="0027316A"/>
    <w:rsid w:val="00273E83"/>
    <w:rsid w:val="002766A5"/>
    <w:rsid w:val="0029740C"/>
    <w:rsid w:val="002D694A"/>
    <w:rsid w:val="002E4D2D"/>
    <w:rsid w:val="002F0099"/>
    <w:rsid w:val="00341D5C"/>
    <w:rsid w:val="0034333B"/>
    <w:rsid w:val="00364BCC"/>
    <w:rsid w:val="00387068"/>
    <w:rsid w:val="0038775E"/>
    <w:rsid w:val="003904EF"/>
    <w:rsid w:val="003A01BA"/>
    <w:rsid w:val="003A5B78"/>
    <w:rsid w:val="003B0287"/>
    <w:rsid w:val="003D70EE"/>
    <w:rsid w:val="003F284D"/>
    <w:rsid w:val="00414BA5"/>
    <w:rsid w:val="004206C0"/>
    <w:rsid w:val="00443851"/>
    <w:rsid w:val="00453DC1"/>
    <w:rsid w:val="004C641D"/>
    <w:rsid w:val="00506A1E"/>
    <w:rsid w:val="00515835"/>
    <w:rsid w:val="005263FB"/>
    <w:rsid w:val="005326C9"/>
    <w:rsid w:val="00597EE9"/>
    <w:rsid w:val="005A5650"/>
    <w:rsid w:val="005B49B9"/>
    <w:rsid w:val="00620FE4"/>
    <w:rsid w:val="00621282"/>
    <w:rsid w:val="006442E6"/>
    <w:rsid w:val="006543A1"/>
    <w:rsid w:val="00693A1D"/>
    <w:rsid w:val="00694AA0"/>
    <w:rsid w:val="006E2999"/>
    <w:rsid w:val="0070114F"/>
    <w:rsid w:val="007114D5"/>
    <w:rsid w:val="007507E9"/>
    <w:rsid w:val="0075739C"/>
    <w:rsid w:val="0076300E"/>
    <w:rsid w:val="00770B18"/>
    <w:rsid w:val="00775581"/>
    <w:rsid w:val="00793C17"/>
    <w:rsid w:val="007B7A85"/>
    <w:rsid w:val="007C049B"/>
    <w:rsid w:val="007F0CE4"/>
    <w:rsid w:val="00800130"/>
    <w:rsid w:val="00800A6F"/>
    <w:rsid w:val="0085396C"/>
    <w:rsid w:val="00897912"/>
    <w:rsid w:val="008A289B"/>
    <w:rsid w:val="008B1FCF"/>
    <w:rsid w:val="008B530E"/>
    <w:rsid w:val="008E58A2"/>
    <w:rsid w:val="009504F0"/>
    <w:rsid w:val="00951090"/>
    <w:rsid w:val="00984383"/>
    <w:rsid w:val="009D0078"/>
    <w:rsid w:val="00A039EE"/>
    <w:rsid w:val="00A1023B"/>
    <w:rsid w:val="00A2473D"/>
    <w:rsid w:val="00A74A15"/>
    <w:rsid w:val="00AA2DD6"/>
    <w:rsid w:val="00AB08EF"/>
    <w:rsid w:val="00AB4298"/>
    <w:rsid w:val="00AB505B"/>
    <w:rsid w:val="00AC0AA3"/>
    <w:rsid w:val="00AF3CE0"/>
    <w:rsid w:val="00B365F6"/>
    <w:rsid w:val="00B41928"/>
    <w:rsid w:val="00B44787"/>
    <w:rsid w:val="00BA51E8"/>
    <w:rsid w:val="00BB6427"/>
    <w:rsid w:val="00BE714D"/>
    <w:rsid w:val="00BF1F15"/>
    <w:rsid w:val="00C23C59"/>
    <w:rsid w:val="00C429E7"/>
    <w:rsid w:val="00C51208"/>
    <w:rsid w:val="00C6599A"/>
    <w:rsid w:val="00C73BEC"/>
    <w:rsid w:val="00C845AF"/>
    <w:rsid w:val="00CE1DF7"/>
    <w:rsid w:val="00D20571"/>
    <w:rsid w:val="00D24BB1"/>
    <w:rsid w:val="00D5365A"/>
    <w:rsid w:val="00DB08F7"/>
    <w:rsid w:val="00DB56BE"/>
    <w:rsid w:val="00DD1CB8"/>
    <w:rsid w:val="00DE3265"/>
    <w:rsid w:val="00E746AA"/>
    <w:rsid w:val="00E81A55"/>
    <w:rsid w:val="00E8772F"/>
    <w:rsid w:val="00E916C5"/>
    <w:rsid w:val="00ED5030"/>
    <w:rsid w:val="00EE5E1B"/>
    <w:rsid w:val="00EF779C"/>
    <w:rsid w:val="00F024B6"/>
    <w:rsid w:val="00F20A65"/>
    <w:rsid w:val="00F83117"/>
    <w:rsid w:val="00FB63AC"/>
    <w:rsid w:val="00FC5E2E"/>
    <w:rsid w:val="00FD2248"/>
    <w:rsid w:val="00FE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73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505B"/>
    <w:rPr>
      <w:rFonts w:eastAsiaTheme="minorHAnsi"/>
      <w:sz w:val="20"/>
      <w:szCs w:val="20"/>
      <w:lang w:val="en-US"/>
    </w:rPr>
  </w:style>
  <w:style w:type="character" w:customStyle="1" w:styleId="FootnoteTextChar">
    <w:name w:val="Footnote Text Char"/>
    <w:basedOn w:val="DefaultParagraphFont"/>
    <w:link w:val="FootnoteText"/>
    <w:uiPriority w:val="99"/>
    <w:rsid w:val="00AB505B"/>
    <w:rPr>
      <w:rFonts w:eastAsiaTheme="minorHAnsi"/>
      <w:sz w:val="20"/>
      <w:szCs w:val="20"/>
    </w:rPr>
  </w:style>
  <w:style w:type="character" w:styleId="FootnoteReference">
    <w:name w:val="footnote reference"/>
    <w:basedOn w:val="DefaultParagraphFont"/>
    <w:uiPriority w:val="99"/>
    <w:unhideWhenUsed/>
    <w:rsid w:val="00AB505B"/>
    <w:rPr>
      <w:vertAlign w:val="superscript"/>
    </w:rPr>
  </w:style>
  <w:style w:type="character" w:customStyle="1" w:styleId="Hyperlink1">
    <w:name w:val="Hyperlink1"/>
    <w:basedOn w:val="DefaultParagraphFont"/>
    <w:uiPriority w:val="99"/>
    <w:unhideWhenUsed/>
    <w:rsid w:val="00AB505B"/>
    <w:rPr>
      <w:color w:val="0000FF"/>
      <w:u w:val="single"/>
    </w:rPr>
  </w:style>
  <w:style w:type="paragraph" w:styleId="ListParagraph">
    <w:name w:val="List Paragraph"/>
    <w:basedOn w:val="Normal"/>
    <w:uiPriority w:val="34"/>
    <w:qFormat/>
    <w:rsid w:val="00AB505B"/>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AB4298"/>
    <w:rPr>
      <w:color w:val="0000FF" w:themeColor="hyperlink"/>
      <w:u w:val="single"/>
    </w:rPr>
  </w:style>
  <w:style w:type="character" w:styleId="Strong">
    <w:name w:val="Strong"/>
    <w:basedOn w:val="DefaultParagraphFont"/>
    <w:uiPriority w:val="22"/>
    <w:qFormat/>
    <w:rsid w:val="003D70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505B"/>
    <w:rPr>
      <w:rFonts w:eastAsiaTheme="minorHAnsi"/>
      <w:sz w:val="20"/>
      <w:szCs w:val="20"/>
      <w:lang w:val="en-US"/>
    </w:rPr>
  </w:style>
  <w:style w:type="character" w:customStyle="1" w:styleId="FootnoteTextChar">
    <w:name w:val="Footnote Text Char"/>
    <w:basedOn w:val="DefaultParagraphFont"/>
    <w:link w:val="FootnoteText"/>
    <w:uiPriority w:val="99"/>
    <w:rsid w:val="00AB505B"/>
    <w:rPr>
      <w:rFonts w:eastAsiaTheme="minorHAnsi"/>
      <w:sz w:val="20"/>
      <w:szCs w:val="20"/>
    </w:rPr>
  </w:style>
  <w:style w:type="character" w:styleId="FootnoteReference">
    <w:name w:val="footnote reference"/>
    <w:basedOn w:val="DefaultParagraphFont"/>
    <w:uiPriority w:val="99"/>
    <w:unhideWhenUsed/>
    <w:rsid w:val="00AB505B"/>
    <w:rPr>
      <w:vertAlign w:val="superscript"/>
    </w:rPr>
  </w:style>
  <w:style w:type="character" w:customStyle="1" w:styleId="Hyperlink1">
    <w:name w:val="Hyperlink1"/>
    <w:basedOn w:val="DefaultParagraphFont"/>
    <w:uiPriority w:val="99"/>
    <w:unhideWhenUsed/>
    <w:rsid w:val="00AB505B"/>
    <w:rPr>
      <w:color w:val="0000FF"/>
      <w:u w:val="single"/>
    </w:rPr>
  </w:style>
  <w:style w:type="paragraph" w:styleId="ListParagraph">
    <w:name w:val="List Paragraph"/>
    <w:basedOn w:val="Normal"/>
    <w:uiPriority w:val="34"/>
    <w:qFormat/>
    <w:rsid w:val="00AB505B"/>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AB4298"/>
    <w:rPr>
      <w:color w:val="0000FF" w:themeColor="hyperlink"/>
      <w:u w:val="single"/>
    </w:rPr>
  </w:style>
  <w:style w:type="character" w:styleId="Strong">
    <w:name w:val="Strong"/>
    <w:basedOn w:val="DefaultParagraphFont"/>
    <w:uiPriority w:val="22"/>
    <w:qFormat/>
    <w:rsid w:val="003D7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607">
      <w:bodyDiv w:val="1"/>
      <w:marLeft w:val="0"/>
      <w:marRight w:val="0"/>
      <w:marTop w:val="0"/>
      <w:marBottom w:val="0"/>
      <w:divBdr>
        <w:top w:val="none" w:sz="0" w:space="0" w:color="auto"/>
        <w:left w:val="none" w:sz="0" w:space="0" w:color="auto"/>
        <w:bottom w:val="none" w:sz="0" w:space="0" w:color="auto"/>
        <w:right w:val="none" w:sz="0" w:space="0" w:color="auto"/>
      </w:divBdr>
      <w:divsChild>
        <w:div w:id="1391078316">
          <w:marLeft w:val="0"/>
          <w:marRight w:val="0"/>
          <w:marTop w:val="0"/>
          <w:marBottom w:val="0"/>
          <w:divBdr>
            <w:top w:val="none" w:sz="0" w:space="0" w:color="auto"/>
            <w:left w:val="none" w:sz="0" w:space="0" w:color="auto"/>
            <w:bottom w:val="none" w:sz="0" w:space="0" w:color="auto"/>
            <w:right w:val="none" w:sz="0" w:space="0" w:color="auto"/>
          </w:divBdr>
          <w:divsChild>
            <w:div w:id="1077485068">
              <w:marLeft w:val="0"/>
              <w:marRight w:val="0"/>
              <w:marTop w:val="0"/>
              <w:marBottom w:val="0"/>
              <w:divBdr>
                <w:top w:val="none" w:sz="0" w:space="0" w:color="auto"/>
                <w:left w:val="none" w:sz="0" w:space="0" w:color="auto"/>
                <w:bottom w:val="none" w:sz="0" w:space="0" w:color="auto"/>
                <w:right w:val="none" w:sz="0" w:space="0" w:color="auto"/>
              </w:divBdr>
              <w:divsChild>
                <w:div w:id="14011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5376">
      <w:bodyDiv w:val="1"/>
      <w:marLeft w:val="0"/>
      <w:marRight w:val="0"/>
      <w:marTop w:val="0"/>
      <w:marBottom w:val="0"/>
      <w:divBdr>
        <w:top w:val="none" w:sz="0" w:space="0" w:color="auto"/>
        <w:left w:val="none" w:sz="0" w:space="0" w:color="auto"/>
        <w:bottom w:val="none" w:sz="0" w:space="0" w:color="auto"/>
        <w:right w:val="none" w:sz="0" w:space="0" w:color="auto"/>
      </w:divBdr>
    </w:div>
    <w:div w:id="1079981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antykorupcja.edu.pl/index.php?mnu=12&amp;app=docs&amp;action=get&amp;iid=9739" TargetMode="External"/><Relationship Id="rId12" Type="http://schemas.openxmlformats.org/officeDocument/2006/relationships/hyperlink" Target="http://biznes.gazetaprawna.pl/artykuly/642188,ile_zarobia_adwokaci_na_klientach_amber_gold.html" TargetMode="External"/><Relationship Id="rId13" Type="http://schemas.openxmlformats.org/officeDocument/2006/relationships/hyperlink" Target="http://www.pozwalembank.pl/wyrok-uzasadnienie-pozew-zbiorowy-bre-mbank/" TargetMode="External"/><Relationship Id="rId1" Type="http://schemas.openxmlformats.org/officeDocument/2006/relationships/hyperlink" Target="https://www.mr.gov.pl/media/21040/Pakiet_wierzycielski.pdf" TargetMode="External"/><Relationship Id="rId2" Type="http://schemas.openxmlformats.org/officeDocument/2006/relationships/hyperlink" Target="http://www.rp.pl/Gospodarka/311259965-MR-zmiany-w-prawie-pomoga-rozwiazac-problemy-z-pozwami-zbiorowymi.html#ap-1" TargetMode="External"/><Relationship Id="rId3" Type="http://schemas.openxmlformats.org/officeDocument/2006/relationships/hyperlink" Target="http://www.monitorprawniczy.pl/index.php?mod=m_artykuly&amp;cid=53&amp;id=219&amp;p=4" TargetMode="External"/><Relationship Id="rId4" Type="http://schemas.openxmlformats.org/officeDocument/2006/relationships/hyperlink" Target="http://antykorupcja.edu.pl/index.php?mnu=12&amp;app=docs&amp;action=get&amp;iid=9739" TargetMode="External"/><Relationship Id="rId5" Type="http://schemas.openxmlformats.org/officeDocument/2006/relationships/hyperlink" Target="https://isws.ms.gov.pl/pl/baza-statystyczna/opracowania-wieloletnie/" TargetMode="External"/><Relationship Id="rId6" Type="http://schemas.openxmlformats.org/officeDocument/2006/relationships/hyperlink" Target="http://prawo.rp.pl/artykul/792854,958037-Poszkodowani-w-wypadku-przy-pracy-moga-wystapic-z-pozwem-zbiorowym.html" TargetMode="External"/><Relationship Id="rId7" Type="http://schemas.openxmlformats.org/officeDocument/2006/relationships/hyperlink" Target="http://wyborcza.biz/finanse/1,105684,12400194,Do_gdanskiego_sadu_wplynal_pozew_zbiorowy_przeciwko.html" TargetMode="External"/><Relationship Id="rId8" Type="http://schemas.openxmlformats.org/officeDocument/2006/relationships/hyperlink" Target="http://www.bankier.pl/wiadomosc/Klienci-Amber-Gold-podwojnie-nabici-w-butelke-2900739.html" TargetMode="External"/><Relationship Id="rId9" Type="http://schemas.openxmlformats.org/officeDocument/2006/relationships/hyperlink" Target="http://wyborcza.biz/finanse/1,105725,15355340,Modne_pozwy_zbiorowe_slono_kosztuja_poszkodowanych.html?biznes=trojmiasto" TargetMode="External"/><Relationship Id="rId10" Type="http://schemas.openxmlformats.org/officeDocument/2006/relationships/hyperlink" Target="http://www.monitorprawniczy.pl/index.php?mod=m_artykuly&amp;cid=53&amp;id=219&amp;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18</Pages>
  <Words>5593</Words>
  <Characters>31883</Characters>
  <Application>Microsoft Macintosh Word</Application>
  <DocSecurity>0</DocSecurity>
  <Lines>265</Lines>
  <Paragraphs>74</Paragraphs>
  <ScaleCrop>false</ScaleCrop>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Tulibacka</dc:creator>
  <cp:keywords/>
  <dc:description/>
  <cp:lastModifiedBy>Magdalena Tulibacka</cp:lastModifiedBy>
  <cp:revision>100</cp:revision>
  <dcterms:created xsi:type="dcterms:W3CDTF">2016-11-29T19:10:00Z</dcterms:created>
  <dcterms:modified xsi:type="dcterms:W3CDTF">2016-12-03T16:58:00Z</dcterms:modified>
</cp:coreProperties>
</file>